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20509">
      <w:pPr>
        <w:pStyle w:val="5"/>
        <w:keepNext/>
        <w:keepLines/>
        <w:pageBreakBefore w:val="0"/>
        <w:widowControl/>
        <w:kinsoku/>
        <w:wordWrap/>
        <w:overflowPunct/>
        <w:topLinePunct w:val="0"/>
        <w:autoSpaceDE/>
        <w:autoSpaceDN/>
        <w:bidi w:val="0"/>
        <w:adjustRightInd/>
        <w:snapToGrid w:val="0"/>
        <w:spacing w:before="0" w:after="0" w:line="240" w:lineRule="auto"/>
        <w:jc w:val="center"/>
        <w:textAlignment w:val="baseline"/>
        <w:rPr>
          <w:rStyle w:val="7"/>
          <w:rFonts w:ascii="宋体" w:hAnsi="宋体" w:eastAsia="宋体" w:cs="宋体"/>
          <w:color w:val="auto"/>
          <w:kern w:val="44"/>
          <w:sz w:val="44"/>
          <w:szCs w:val="44"/>
          <w:highlight w:val="none"/>
        </w:rPr>
      </w:pPr>
      <w:r>
        <w:rPr>
          <w:rStyle w:val="7"/>
          <w:rFonts w:hint="eastAsia" w:ascii="宋体" w:hAnsi="宋体" w:eastAsia="宋体" w:cs="宋体"/>
          <w:color w:val="auto"/>
          <w:kern w:val="44"/>
          <w:sz w:val="36"/>
          <w:szCs w:val="44"/>
          <w:highlight w:val="none"/>
          <w:lang w:val="en-US" w:eastAsia="zh-CN"/>
        </w:rPr>
        <w:t>2024年财务报表审计项目</w:t>
      </w:r>
      <w:r>
        <w:rPr>
          <w:rStyle w:val="7"/>
          <w:rFonts w:ascii="宋体" w:hAnsi="宋体" w:eastAsia="宋体" w:cs="宋体"/>
          <w:color w:val="auto"/>
          <w:kern w:val="44"/>
          <w:sz w:val="36"/>
          <w:szCs w:val="44"/>
          <w:highlight w:val="none"/>
        </w:rPr>
        <w:t>招标公告</w:t>
      </w:r>
    </w:p>
    <w:p w14:paraId="717E0F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一、</w:t>
      </w:r>
      <w:r>
        <w:rPr>
          <w:rFonts w:hint="eastAsia" w:cs="宋体"/>
          <w:i w:val="0"/>
          <w:iCs w:val="0"/>
          <w:caps w:val="0"/>
          <w:color w:val="auto"/>
          <w:spacing w:val="0"/>
          <w:kern w:val="0"/>
          <w:sz w:val="24"/>
          <w:szCs w:val="24"/>
          <w:highlight w:val="none"/>
          <w:shd w:val="clear" w:fill="FFFFFF"/>
          <w:lang w:val="en-US" w:eastAsia="zh-CN" w:bidi="ar"/>
        </w:rPr>
        <w:t>盐城市大数据集团有限公司</w:t>
      </w:r>
      <w:r>
        <w:rPr>
          <w:rFonts w:hint="eastAsia" w:ascii="宋体" w:hAnsi="宋体" w:eastAsia="宋体" w:cs="宋体"/>
          <w:i w:val="0"/>
          <w:iCs w:val="0"/>
          <w:caps w:val="0"/>
          <w:color w:val="auto"/>
          <w:spacing w:val="0"/>
          <w:kern w:val="0"/>
          <w:sz w:val="24"/>
          <w:szCs w:val="24"/>
          <w:highlight w:val="none"/>
          <w:shd w:val="clear" w:fill="FFFFFF"/>
          <w:lang w:val="en-US" w:eastAsia="zh-CN" w:bidi="ar"/>
        </w:rPr>
        <w:t>的</w:t>
      </w:r>
      <w:r>
        <w:rPr>
          <w:rFonts w:hint="eastAsia" w:cs="宋体"/>
          <w:i w:val="0"/>
          <w:iCs w:val="0"/>
          <w:caps w:val="0"/>
          <w:color w:val="auto"/>
          <w:spacing w:val="0"/>
          <w:kern w:val="0"/>
          <w:sz w:val="24"/>
          <w:szCs w:val="24"/>
          <w:highlight w:val="none"/>
          <w:shd w:val="clear" w:fill="FFFFFF"/>
          <w:lang w:val="en-US" w:eastAsia="zh-CN" w:bidi="ar"/>
        </w:rPr>
        <w:t>2024年财务报表审计项目</w:t>
      </w:r>
      <w:r>
        <w:rPr>
          <w:rFonts w:hint="eastAsia" w:ascii="宋体" w:hAnsi="宋体" w:eastAsia="宋体" w:cs="宋体"/>
          <w:i w:val="0"/>
          <w:iCs w:val="0"/>
          <w:caps w:val="0"/>
          <w:color w:val="auto"/>
          <w:spacing w:val="0"/>
          <w:kern w:val="0"/>
          <w:sz w:val="24"/>
          <w:szCs w:val="24"/>
          <w:highlight w:val="none"/>
          <w:shd w:val="clear" w:fill="FFFFFF"/>
          <w:lang w:val="en-US" w:eastAsia="zh-CN" w:bidi="ar"/>
        </w:rPr>
        <w:t>已经批准招标，建设资金已筹措落实。现邀请合格的潜在投标人参加</w:t>
      </w:r>
      <w:r>
        <w:rPr>
          <w:rFonts w:hint="eastAsia" w:cs="宋体"/>
          <w:i w:val="0"/>
          <w:iCs w:val="0"/>
          <w:caps w:val="0"/>
          <w:color w:val="auto"/>
          <w:spacing w:val="0"/>
          <w:kern w:val="0"/>
          <w:sz w:val="24"/>
          <w:szCs w:val="24"/>
          <w:highlight w:val="none"/>
          <w:shd w:val="clear" w:fill="FFFFFF"/>
          <w:lang w:val="en-US" w:eastAsia="zh-CN" w:bidi="ar"/>
        </w:rPr>
        <w:t>2024年财务报表审计项目</w:t>
      </w:r>
      <w:r>
        <w:rPr>
          <w:rFonts w:hint="eastAsia" w:ascii="宋体" w:hAnsi="宋体" w:eastAsia="宋体" w:cs="宋体"/>
          <w:i w:val="0"/>
          <w:iCs w:val="0"/>
          <w:caps w:val="0"/>
          <w:color w:val="auto"/>
          <w:spacing w:val="0"/>
          <w:kern w:val="0"/>
          <w:sz w:val="24"/>
          <w:szCs w:val="24"/>
          <w:highlight w:val="none"/>
          <w:shd w:val="clear" w:fill="FFFFFF"/>
          <w:lang w:val="en-US" w:eastAsia="zh-CN" w:bidi="ar"/>
        </w:rPr>
        <w:t>的投标报名。</w:t>
      </w:r>
    </w:p>
    <w:p w14:paraId="4C07D4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二、项目概况：</w:t>
      </w:r>
    </w:p>
    <w:p w14:paraId="23CABB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1、项目名称：</w:t>
      </w:r>
      <w:r>
        <w:rPr>
          <w:rFonts w:hint="eastAsia" w:cs="宋体"/>
          <w:i w:val="0"/>
          <w:iCs w:val="0"/>
          <w:caps w:val="0"/>
          <w:color w:val="auto"/>
          <w:spacing w:val="0"/>
          <w:kern w:val="0"/>
          <w:sz w:val="24"/>
          <w:szCs w:val="24"/>
          <w:highlight w:val="none"/>
          <w:shd w:val="clear" w:fill="FFFFFF"/>
          <w:lang w:val="en-US" w:eastAsia="zh-CN" w:bidi="ar"/>
        </w:rPr>
        <w:t>2024年财务报表审计项目</w:t>
      </w:r>
    </w:p>
    <w:p w14:paraId="404BB8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cs="宋体"/>
          <w:i w:val="0"/>
          <w:iCs w:val="0"/>
          <w:caps w:val="0"/>
          <w:color w:val="auto"/>
          <w:spacing w:val="0"/>
          <w:kern w:val="0"/>
          <w:sz w:val="24"/>
          <w:szCs w:val="24"/>
          <w:highlight w:val="none"/>
          <w:shd w:val="clear" w:fill="FFFFFF"/>
          <w:lang w:val="en-US" w:eastAsia="zh-CN" w:bidi="ar"/>
        </w:rPr>
        <w:t>2、</w:t>
      </w:r>
      <w:r>
        <w:rPr>
          <w:rFonts w:hint="eastAsia" w:ascii="宋体" w:hAnsi="宋体" w:eastAsia="宋体" w:cs="宋体"/>
          <w:i w:val="0"/>
          <w:iCs w:val="0"/>
          <w:caps w:val="0"/>
          <w:color w:val="auto"/>
          <w:spacing w:val="0"/>
          <w:kern w:val="0"/>
          <w:sz w:val="24"/>
          <w:szCs w:val="24"/>
          <w:highlight w:val="none"/>
          <w:shd w:val="clear" w:fill="FFFFFF"/>
          <w:lang w:val="en-US" w:eastAsia="zh-CN" w:bidi="ar"/>
        </w:rPr>
        <w:t>项目规模：盐城市大数据集团有限公司合并资产总额约</w:t>
      </w:r>
      <w:r>
        <w:rPr>
          <w:rFonts w:hint="eastAsia" w:cs="宋体"/>
          <w:i w:val="0"/>
          <w:iCs w:val="0"/>
          <w:caps w:val="0"/>
          <w:color w:val="auto"/>
          <w:spacing w:val="0"/>
          <w:kern w:val="0"/>
          <w:sz w:val="24"/>
          <w:szCs w:val="24"/>
          <w:highlight w:val="none"/>
          <w:shd w:val="clear" w:fill="FFFFFF"/>
          <w:lang w:val="en-US" w:eastAsia="zh-CN" w:bidi="ar"/>
        </w:rPr>
        <w:t>240</w:t>
      </w:r>
      <w:r>
        <w:rPr>
          <w:rFonts w:hint="eastAsia" w:ascii="宋体" w:hAnsi="宋体" w:eastAsia="宋体" w:cs="宋体"/>
          <w:i w:val="0"/>
          <w:iCs w:val="0"/>
          <w:caps w:val="0"/>
          <w:color w:val="auto"/>
          <w:spacing w:val="0"/>
          <w:kern w:val="0"/>
          <w:sz w:val="24"/>
          <w:szCs w:val="24"/>
          <w:highlight w:val="none"/>
          <w:shd w:val="clear" w:fill="FFFFFF"/>
          <w:lang w:val="en-US" w:eastAsia="zh-CN" w:bidi="ar"/>
        </w:rPr>
        <w:t>亿元，本项目预算约</w:t>
      </w:r>
      <w:r>
        <w:rPr>
          <w:rFonts w:hint="eastAsia" w:cs="宋体"/>
          <w:i w:val="0"/>
          <w:iCs w:val="0"/>
          <w:caps w:val="0"/>
          <w:color w:val="auto"/>
          <w:spacing w:val="0"/>
          <w:kern w:val="0"/>
          <w:sz w:val="24"/>
          <w:szCs w:val="24"/>
          <w:highlight w:val="none"/>
          <w:shd w:val="clear" w:fill="FFFFFF"/>
          <w:lang w:val="en-US" w:eastAsia="zh-CN" w:bidi="ar"/>
        </w:rPr>
        <w:t>47</w:t>
      </w:r>
      <w:r>
        <w:rPr>
          <w:rFonts w:hint="eastAsia" w:ascii="宋体" w:hAnsi="宋体" w:eastAsia="宋体" w:cs="宋体"/>
          <w:i w:val="0"/>
          <w:iCs w:val="0"/>
          <w:caps w:val="0"/>
          <w:color w:val="auto"/>
          <w:spacing w:val="0"/>
          <w:kern w:val="0"/>
          <w:sz w:val="24"/>
          <w:szCs w:val="24"/>
          <w:highlight w:val="none"/>
          <w:shd w:val="clear" w:fill="FFFFFF"/>
          <w:lang w:val="en-US" w:eastAsia="zh-CN" w:bidi="ar"/>
        </w:rPr>
        <w:t>万</w:t>
      </w:r>
      <w:r>
        <w:rPr>
          <w:rFonts w:hint="eastAsia" w:cs="宋体"/>
          <w:i w:val="0"/>
          <w:iCs w:val="0"/>
          <w:caps w:val="0"/>
          <w:color w:val="auto"/>
          <w:spacing w:val="0"/>
          <w:kern w:val="0"/>
          <w:sz w:val="24"/>
          <w:szCs w:val="24"/>
          <w:highlight w:val="none"/>
          <w:shd w:val="clear" w:fill="FFFFFF"/>
          <w:lang w:val="en-US" w:eastAsia="zh-CN" w:bidi="ar"/>
        </w:rPr>
        <w:t>元。</w:t>
      </w:r>
      <w:bookmarkStart w:id="0" w:name="_GoBack"/>
      <w:bookmarkEnd w:id="0"/>
    </w:p>
    <w:p w14:paraId="53545E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cs="宋体"/>
          <w:i w:val="0"/>
          <w:iCs w:val="0"/>
          <w:caps w:val="0"/>
          <w:color w:val="auto"/>
          <w:spacing w:val="0"/>
          <w:kern w:val="0"/>
          <w:sz w:val="24"/>
          <w:szCs w:val="24"/>
          <w:highlight w:val="none"/>
          <w:shd w:val="clear" w:fill="FFFFFF"/>
          <w:lang w:val="en-US" w:eastAsia="zh-CN" w:bidi="ar"/>
        </w:rPr>
        <w:t>3、</w:t>
      </w:r>
      <w:r>
        <w:rPr>
          <w:rFonts w:hint="eastAsia" w:ascii="宋体" w:hAnsi="宋体" w:eastAsia="宋体" w:cs="宋体"/>
          <w:i w:val="0"/>
          <w:iCs w:val="0"/>
          <w:caps w:val="0"/>
          <w:color w:val="auto"/>
          <w:spacing w:val="0"/>
          <w:kern w:val="0"/>
          <w:sz w:val="24"/>
          <w:szCs w:val="24"/>
          <w:highlight w:val="none"/>
          <w:shd w:val="clear" w:fill="FFFFFF"/>
          <w:lang w:val="en-US" w:eastAsia="zh-CN" w:bidi="ar"/>
        </w:rPr>
        <w:t>服务期限要求：</w:t>
      </w:r>
      <w:r>
        <w:rPr>
          <w:rFonts w:hint="eastAsia" w:ascii="宋体" w:hAnsi="宋体"/>
          <w:color w:val="auto"/>
          <w:sz w:val="24"/>
        </w:rPr>
        <w:t>自合同签订后30日内出具审计报告</w:t>
      </w:r>
      <w:r>
        <w:rPr>
          <w:rFonts w:hint="eastAsia" w:ascii="宋体" w:hAnsi="宋体" w:eastAsia="宋体" w:cs="宋体"/>
          <w:i w:val="0"/>
          <w:iCs w:val="0"/>
          <w:caps w:val="0"/>
          <w:color w:val="auto"/>
          <w:spacing w:val="0"/>
          <w:kern w:val="0"/>
          <w:sz w:val="24"/>
          <w:szCs w:val="24"/>
          <w:highlight w:val="none"/>
          <w:shd w:val="clear" w:fill="FFFFFF"/>
          <w:lang w:val="en-US" w:eastAsia="zh-CN" w:bidi="ar"/>
        </w:rPr>
        <w:t>，服务从招标人安排</w:t>
      </w:r>
      <w:r>
        <w:rPr>
          <w:rFonts w:hint="eastAsia" w:cs="宋体"/>
          <w:i w:val="0"/>
          <w:iCs w:val="0"/>
          <w:caps w:val="0"/>
          <w:color w:val="auto"/>
          <w:spacing w:val="0"/>
          <w:kern w:val="0"/>
          <w:sz w:val="24"/>
          <w:szCs w:val="24"/>
          <w:highlight w:val="none"/>
          <w:shd w:val="clear" w:fill="FFFFFF"/>
          <w:lang w:val="en-US" w:eastAsia="zh-CN" w:bidi="ar"/>
        </w:rPr>
        <w:t>。</w:t>
      </w:r>
    </w:p>
    <w:p w14:paraId="378ED5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cs="宋体"/>
          <w:i w:val="0"/>
          <w:iCs w:val="0"/>
          <w:caps w:val="0"/>
          <w:color w:val="auto"/>
          <w:spacing w:val="0"/>
          <w:kern w:val="0"/>
          <w:sz w:val="24"/>
          <w:szCs w:val="24"/>
          <w:highlight w:val="none"/>
          <w:shd w:val="clear" w:fill="FFFFFF"/>
          <w:lang w:val="en-US" w:eastAsia="zh-CN" w:bidi="ar"/>
        </w:rPr>
        <w:t>4、</w:t>
      </w:r>
      <w:r>
        <w:rPr>
          <w:rFonts w:hint="eastAsia" w:ascii="宋体" w:hAnsi="宋体" w:eastAsia="宋体" w:cs="宋体"/>
          <w:i w:val="0"/>
          <w:iCs w:val="0"/>
          <w:caps w:val="0"/>
          <w:color w:val="auto"/>
          <w:spacing w:val="0"/>
          <w:kern w:val="0"/>
          <w:sz w:val="24"/>
          <w:szCs w:val="24"/>
          <w:highlight w:val="none"/>
          <w:shd w:val="clear" w:fill="FFFFFF"/>
          <w:lang w:val="en-US" w:eastAsia="zh-CN" w:bidi="ar"/>
        </w:rPr>
        <w:t>质量要求：审计过程和审计报告应符合《中国注册会计师执业准则》的要求，会计师事务所须安排符合资格要求的审计人员，坚持问题导向，保证现场审计的工作时间，确保审计工作符合质量要求，严格遵守廉洁纪律，保守审计秘密</w:t>
      </w:r>
      <w:r>
        <w:rPr>
          <w:rFonts w:hint="eastAsia" w:cs="宋体"/>
          <w:i w:val="0"/>
          <w:iCs w:val="0"/>
          <w:caps w:val="0"/>
          <w:color w:val="auto"/>
          <w:spacing w:val="0"/>
          <w:kern w:val="0"/>
          <w:sz w:val="24"/>
          <w:szCs w:val="24"/>
          <w:highlight w:val="none"/>
          <w:shd w:val="clear" w:fill="FFFFFF"/>
          <w:lang w:val="en-US" w:eastAsia="zh-CN" w:bidi="ar"/>
        </w:rPr>
        <w:t>，</w:t>
      </w:r>
      <w:r>
        <w:rPr>
          <w:rFonts w:hint="eastAsia" w:ascii="宋体" w:hAnsi="宋体" w:eastAsia="宋体" w:cs="宋体"/>
          <w:i w:val="0"/>
          <w:iCs w:val="0"/>
          <w:caps w:val="0"/>
          <w:color w:val="auto"/>
          <w:spacing w:val="0"/>
          <w:kern w:val="0"/>
          <w:sz w:val="24"/>
          <w:szCs w:val="24"/>
          <w:highlight w:val="none"/>
          <w:shd w:val="clear" w:fill="FFFFFF"/>
          <w:lang w:val="en-US" w:eastAsia="zh-CN" w:bidi="ar"/>
        </w:rPr>
        <w:t>出具准确、完整的审计报告。</w:t>
      </w:r>
    </w:p>
    <w:p w14:paraId="4949C1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三、招标范围及标段划分</w:t>
      </w:r>
    </w:p>
    <w:p w14:paraId="1DE783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本招标项目为一个标段；主要内容包括（但不限于）：</w:t>
      </w:r>
      <w:r>
        <w:rPr>
          <w:rFonts w:hint="eastAsia" w:cs="宋体"/>
          <w:i w:val="0"/>
          <w:iCs w:val="0"/>
          <w:caps w:val="0"/>
          <w:color w:val="auto"/>
          <w:spacing w:val="0"/>
          <w:kern w:val="0"/>
          <w:sz w:val="24"/>
          <w:szCs w:val="24"/>
          <w:highlight w:val="none"/>
          <w:shd w:val="clear" w:fill="FFFFFF"/>
          <w:lang w:val="en-US" w:eastAsia="zh-CN" w:bidi="ar"/>
        </w:rPr>
        <w:t>对</w:t>
      </w:r>
      <w:r>
        <w:rPr>
          <w:rFonts w:hint="eastAsia" w:ascii="宋体" w:hAnsi="宋体" w:eastAsia="宋体" w:cs="宋体"/>
          <w:color w:val="auto"/>
          <w:sz w:val="24"/>
          <w:szCs w:val="24"/>
          <w:lang w:eastAsia="zh-CN"/>
        </w:rPr>
        <w:t>大数据集团202</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eastAsia="zh-CN"/>
        </w:rPr>
        <w:t>年财务状况和经营成果</w:t>
      </w:r>
      <w:r>
        <w:rPr>
          <w:rFonts w:hint="eastAsia" w:ascii="宋体" w:hAnsi="宋体" w:eastAsia="宋体" w:cs="宋体"/>
          <w:color w:val="auto"/>
          <w:sz w:val="24"/>
          <w:szCs w:val="24"/>
          <w:lang w:val="en-US" w:eastAsia="zh-CN"/>
        </w:rPr>
        <w:t>等</w:t>
      </w:r>
      <w:r>
        <w:rPr>
          <w:rFonts w:hint="eastAsia" w:ascii="宋体" w:hAnsi="宋体" w:eastAsia="宋体" w:cs="宋体"/>
          <w:color w:val="auto"/>
          <w:sz w:val="24"/>
          <w:szCs w:val="24"/>
          <w:lang w:eastAsia="zh-CN"/>
        </w:rPr>
        <w:t>的合并财务报表进行审计，出具相关财务审计报告等专项审计服务，</w:t>
      </w:r>
      <w:r>
        <w:rPr>
          <w:rFonts w:hint="eastAsia" w:ascii="宋体" w:hAnsi="宋体" w:eastAsia="宋体" w:cs="宋体"/>
          <w:i w:val="0"/>
          <w:iCs w:val="0"/>
          <w:caps w:val="0"/>
          <w:color w:val="auto"/>
          <w:spacing w:val="0"/>
          <w:kern w:val="0"/>
          <w:sz w:val="24"/>
          <w:szCs w:val="24"/>
          <w:highlight w:val="none"/>
          <w:shd w:val="clear" w:fill="FFFFFF"/>
          <w:lang w:val="en-US" w:eastAsia="zh-CN" w:bidi="ar"/>
        </w:rPr>
        <w:t>具体以</w:t>
      </w:r>
      <w:r>
        <w:rPr>
          <w:rFonts w:hint="eastAsia" w:cs="宋体"/>
          <w:i w:val="0"/>
          <w:iCs w:val="0"/>
          <w:caps w:val="0"/>
          <w:color w:val="auto"/>
          <w:spacing w:val="0"/>
          <w:kern w:val="0"/>
          <w:sz w:val="24"/>
          <w:szCs w:val="24"/>
          <w:highlight w:val="none"/>
          <w:shd w:val="clear" w:fill="FFFFFF"/>
          <w:lang w:val="en-US" w:eastAsia="zh-CN" w:bidi="ar"/>
        </w:rPr>
        <w:t>招标文件</w:t>
      </w:r>
      <w:r>
        <w:rPr>
          <w:rFonts w:hint="eastAsia" w:ascii="宋体" w:hAnsi="宋体" w:eastAsia="宋体" w:cs="宋体"/>
          <w:i w:val="0"/>
          <w:iCs w:val="0"/>
          <w:caps w:val="0"/>
          <w:color w:val="auto"/>
          <w:spacing w:val="0"/>
          <w:kern w:val="0"/>
          <w:sz w:val="24"/>
          <w:szCs w:val="24"/>
          <w:highlight w:val="none"/>
          <w:shd w:val="clear" w:fill="FFFFFF"/>
          <w:lang w:val="en-US" w:eastAsia="zh-CN" w:bidi="ar"/>
        </w:rPr>
        <w:t>要求为准。</w:t>
      </w:r>
    </w:p>
    <w:p w14:paraId="3F0DBC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招标人保留对招标范围适当调整的权利。</w:t>
      </w:r>
    </w:p>
    <w:p w14:paraId="0894309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四、投标申请人应当具备的主要资格条件：</w:t>
      </w:r>
    </w:p>
    <w:p w14:paraId="4FD596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1、资质等级及范围：</w:t>
      </w:r>
      <w:r>
        <w:rPr>
          <w:rFonts w:hint="eastAsia" w:ascii="宋体" w:hAnsi="宋体" w:eastAsia="宋体"/>
          <w:color w:val="auto"/>
          <w:sz w:val="24"/>
          <w:szCs w:val="24"/>
        </w:rPr>
        <w:t>投标人须为中华人民共和国境内依法成立，具有法定资格的会计师事务所，持有合法的《执业证书》和《营业执照》，具备相应的财务审计资质及财务能力、技术能力和经验</w:t>
      </w:r>
      <w:r>
        <w:rPr>
          <w:rFonts w:hint="eastAsia" w:ascii="宋体" w:hAnsi="宋体" w:eastAsia="宋体" w:cs="宋体"/>
          <w:i w:val="0"/>
          <w:iCs w:val="0"/>
          <w:caps w:val="0"/>
          <w:color w:val="auto"/>
          <w:spacing w:val="0"/>
          <w:kern w:val="0"/>
          <w:sz w:val="24"/>
          <w:szCs w:val="24"/>
          <w:highlight w:val="none"/>
          <w:shd w:val="clear" w:fill="FFFFFF"/>
          <w:lang w:val="en-US" w:eastAsia="zh-CN" w:bidi="ar"/>
        </w:rPr>
        <w:t>。</w:t>
      </w:r>
    </w:p>
    <w:p w14:paraId="63C060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2、项目负责人资质和要求：项目负责人必须为投标人本单位的正式职工，并具有注册会计师执业资格证书。</w:t>
      </w:r>
    </w:p>
    <w:p w14:paraId="126B89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3、本次招标不接受联合体投标。</w:t>
      </w:r>
    </w:p>
    <w:p w14:paraId="55E63A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cs="宋体"/>
          <w:i w:val="0"/>
          <w:iCs w:val="0"/>
          <w:caps w:val="0"/>
          <w:color w:val="auto"/>
          <w:spacing w:val="0"/>
          <w:kern w:val="0"/>
          <w:sz w:val="24"/>
          <w:szCs w:val="24"/>
          <w:highlight w:val="none"/>
          <w:shd w:val="clear" w:fill="FFFFFF"/>
          <w:lang w:val="en-US" w:eastAsia="zh-CN" w:bidi="ar"/>
        </w:rPr>
        <w:t>4、</w:t>
      </w:r>
      <w:r>
        <w:rPr>
          <w:rFonts w:hint="eastAsia" w:ascii="宋体" w:hAnsi="宋体" w:eastAsia="宋体" w:cs="宋体"/>
          <w:i w:val="0"/>
          <w:iCs w:val="0"/>
          <w:caps w:val="0"/>
          <w:color w:val="auto"/>
          <w:spacing w:val="0"/>
          <w:kern w:val="0"/>
          <w:sz w:val="24"/>
          <w:szCs w:val="24"/>
          <w:highlight w:val="none"/>
          <w:shd w:val="clear" w:fill="FFFFFF"/>
          <w:lang w:val="en-US" w:eastAsia="zh-CN" w:bidi="ar"/>
        </w:rPr>
        <w:t>其他要求：</w:t>
      </w:r>
    </w:p>
    <w:p w14:paraId="7C545F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4.1财务要求：投标人应具有独立订立合同的能力，未处于财产被接管、冻结和破产状态。</w:t>
      </w:r>
    </w:p>
    <w:p w14:paraId="19BB21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rFonts w:hint="eastAsia" w:ascii="宋体" w:hAnsi="宋体" w:eastAsia="宋体" w:cs="宋体"/>
          <w:i w:val="0"/>
          <w:iCs w:val="0"/>
          <w:caps w:val="0"/>
          <w:color w:val="auto"/>
          <w:spacing w:val="0"/>
          <w:kern w:val="0"/>
          <w:sz w:val="24"/>
          <w:szCs w:val="24"/>
          <w:highlight w:val="none"/>
          <w:shd w:val="clear" w:fill="FFFFFF"/>
          <w:lang w:val="en-US" w:eastAsia="zh-CN" w:bidi="ar"/>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4.2业绩要求：</w:t>
      </w:r>
      <w:r>
        <w:rPr>
          <w:rFonts w:hint="eastAsia" w:cs="宋体"/>
          <w:i w:val="0"/>
          <w:iCs w:val="0"/>
          <w:caps w:val="0"/>
          <w:color w:val="auto"/>
          <w:spacing w:val="0"/>
          <w:kern w:val="0"/>
          <w:sz w:val="24"/>
          <w:szCs w:val="24"/>
          <w:highlight w:val="none"/>
          <w:shd w:val="clear" w:fill="FFFFFF"/>
          <w:lang w:val="en-US" w:eastAsia="zh-CN" w:bidi="ar"/>
        </w:rPr>
        <w:t>/</w:t>
      </w:r>
      <w:r>
        <w:rPr>
          <w:rFonts w:hint="eastAsia" w:ascii="宋体" w:hAnsi="宋体" w:eastAsia="宋体" w:cs="宋体"/>
          <w:i w:val="0"/>
          <w:iCs w:val="0"/>
          <w:caps w:val="0"/>
          <w:color w:val="auto"/>
          <w:spacing w:val="0"/>
          <w:kern w:val="0"/>
          <w:sz w:val="24"/>
          <w:szCs w:val="24"/>
          <w:highlight w:val="none"/>
          <w:shd w:val="clear" w:fill="FFFFFF"/>
          <w:lang w:val="en-US" w:eastAsia="zh-CN" w:bidi="ar"/>
        </w:rPr>
        <w:t>。</w:t>
      </w:r>
    </w:p>
    <w:p w14:paraId="20C287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5、</w:t>
      </w:r>
      <w:r>
        <w:rPr>
          <w:rFonts w:hint="eastAsia" w:ascii="宋体" w:hAnsi="宋体" w:eastAsia="宋体"/>
          <w:color w:val="auto"/>
          <w:sz w:val="24"/>
          <w:szCs w:val="32"/>
          <w:highlight w:val="none"/>
          <w:lang w:val="en-US" w:eastAsia="zh-CN"/>
        </w:rPr>
        <w:t>投标申请人须保证项目负责人及</w:t>
      </w:r>
      <w:r>
        <w:rPr>
          <w:rFonts w:hint="eastAsia"/>
          <w:color w:val="auto"/>
          <w:sz w:val="24"/>
          <w:szCs w:val="32"/>
          <w:highlight w:val="none"/>
          <w:lang w:val="en-US" w:eastAsia="zh-CN"/>
        </w:rPr>
        <w:t>授权委托人</w:t>
      </w:r>
      <w:r>
        <w:rPr>
          <w:rFonts w:hint="eastAsia" w:ascii="宋体" w:hAnsi="宋体" w:eastAsia="宋体"/>
          <w:color w:val="auto"/>
          <w:sz w:val="24"/>
          <w:szCs w:val="32"/>
          <w:highlight w:val="none"/>
          <w:lang w:val="en-US" w:eastAsia="zh-CN"/>
        </w:rPr>
        <w:t>均为本单位的正式职工，投标时提供项目负责人及</w:t>
      </w:r>
      <w:r>
        <w:rPr>
          <w:rFonts w:hint="eastAsia"/>
          <w:color w:val="auto"/>
          <w:sz w:val="24"/>
          <w:szCs w:val="32"/>
          <w:highlight w:val="none"/>
          <w:lang w:val="en-US" w:eastAsia="zh-CN"/>
        </w:rPr>
        <w:t>授权委托人</w:t>
      </w:r>
      <w:r>
        <w:rPr>
          <w:rFonts w:hint="eastAsia" w:ascii="宋体" w:hAnsi="宋体" w:eastAsia="宋体"/>
          <w:color w:val="auto"/>
          <w:sz w:val="24"/>
          <w:szCs w:val="32"/>
          <w:highlight w:val="none"/>
          <w:lang w:val="en-US" w:eastAsia="zh-CN"/>
        </w:rPr>
        <w:t>从202</w:t>
      </w:r>
      <w:r>
        <w:rPr>
          <w:rFonts w:hint="eastAsia"/>
          <w:color w:val="auto"/>
          <w:sz w:val="24"/>
          <w:szCs w:val="32"/>
          <w:highlight w:val="none"/>
          <w:lang w:val="en-US" w:eastAsia="zh-CN"/>
        </w:rPr>
        <w:t>5</w:t>
      </w:r>
      <w:r>
        <w:rPr>
          <w:rFonts w:hint="eastAsia" w:ascii="宋体" w:hAnsi="宋体" w:eastAsia="宋体"/>
          <w:color w:val="auto"/>
          <w:sz w:val="24"/>
          <w:szCs w:val="32"/>
          <w:highlight w:val="none"/>
          <w:lang w:val="en-US" w:eastAsia="zh-CN"/>
        </w:rPr>
        <w:t>年</w:t>
      </w:r>
      <w:r>
        <w:rPr>
          <w:rFonts w:hint="eastAsia"/>
          <w:color w:val="auto"/>
          <w:sz w:val="24"/>
          <w:szCs w:val="32"/>
          <w:highlight w:val="none"/>
          <w:lang w:val="en-US" w:eastAsia="zh-CN"/>
        </w:rPr>
        <w:t>1</w:t>
      </w:r>
      <w:r>
        <w:rPr>
          <w:rFonts w:hint="eastAsia" w:ascii="宋体" w:hAnsi="宋体" w:eastAsia="宋体"/>
          <w:color w:val="auto"/>
          <w:sz w:val="24"/>
          <w:szCs w:val="32"/>
          <w:highlight w:val="none"/>
          <w:lang w:val="en-US" w:eastAsia="zh-CN"/>
        </w:rPr>
        <w:t>月开始至投标截止之日当月至少1个月在本单位缴纳养老保险缴费记录证明。（退休人员提供在本单位相关证明。）</w:t>
      </w:r>
    </w:p>
    <w:p w14:paraId="7D9D8B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6、信誉要求：</w:t>
      </w:r>
    </w:p>
    <w:p w14:paraId="7BF014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6.1投标人没有被国家、江苏省省级有关部门及盐城市级有关部门暂停招投标或市场准入资格且在公示处罚期内。</w:t>
      </w:r>
    </w:p>
    <w:p w14:paraId="252123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6.2招投标相关单位及个人在招投标活动中存在招标文件正文10.1.1以及10.1.2条失信行为的，在“江苏省建设工程招标网”公示期间，本项目的招标人拒绝其投标。</w:t>
      </w:r>
    </w:p>
    <w:p w14:paraId="30AA7C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6.3投标人不得存在：近3年内有行贿犯罪行为且被记录，或者法定代表人有行贿犯罪记录且自记录之日起未超过5年的情形。</w:t>
      </w:r>
    </w:p>
    <w:p w14:paraId="66D13E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6.4投标人被人民法院列为失信被执行人的信息在“信用中国”、“信用江苏”网站上被公布的，自载明的发布之日开始，直至撤销或者更正信息中载明的发布时间的期间，本项目的招标人拒绝其投标，资格审查不予通过，不得被确定为中标候选人、中标人。在一次招投标活动中，资格预审申请人、投标人或者中标候选人因正被列为失信被执行人，导致其资格预审不通过或者被取消中标候选人资格、中标人资格的，不因其之后失信信息被撤销或更正而改变已经作出的决定。</w:t>
      </w:r>
    </w:p>
    <w:p w14:paraId="132E67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6.5投标人作为失信联合惩戒对象，被采取依法限制参与建设工程招投标惩戒措施的，被有关部门推送在“信用中国”、“信用江苏”、“信用盐城”相关网站公示且在有效期内的，本项目的招标人拒绝其投标，资格审查不予通过，不得被确定为中标候选人、中标人。在一次招投标活动中，资格预审申请人、投标人或者中标候选人因正被列为联合惩戒对象，导致其资格预审不通过或者被取消中标候选人资格、中标人资格的，不因其之后失信信息被撤销或更正而改变已经作出的决定。</w:t>
      </w:r>
    </w:p>
    <w:p w14:paraId="3904DD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0DA775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五、本项目采用“资格后审”全数入围的办法确定合格投标人。</w:t>
      </w:r>
    </w:p>
    <w:p w14:paraId="4C5994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left"/>
        <w:textAlignment w:val="auto"/>
        <w:rPr>
          <w:color w:val="auto"/>
          <w:highlight w:val="none"/>
        </w:rPr>
      </w:pPr>
      <w:r>
        <w:rPr>
          <w:rFonts w:hint="eastAsia" w:ascii="宋体" w:hAnsi="宋体" w:eastAsia="宋体" w:cs="宋体"/>
          <w:i w:val="0"/>
          <w:iCs w:val="0"/>
          <w:caps w:val="0"/>
          <w:color w:val="auto"/>
          <w:spacing w:val="0"/>
          <w:kern w:val="0"/>
          <w:sz w:val="24"/>
          <w:szCs w:val="24"/>
          <w:highlight w:val="none"/>
          <w:shd w:val="clear" w:fill="FFFFFF"/>
          <w:lang w:val="en-US" w:eastAsia="zh-CN" w:bidi="ar"/>
        </w:rPr>
        <w:t>六、本项目评标办法采用“</w:t>
      </w:r>
      <w:r>
        <w:rPr>
          <w:rFonts w:hint="eastAsia" w:cs="宋体"/>
          <w:i w:val="0"/>
          <w:iCs w:val="0"/>
          <w:caps w:val="0"/>
          <w:color w:val="auto"/>
          <w:spacing w:val="0"/>
          <w:kern w:val="0"/>
          <w:sz w:val="24"/>
          <w:szCs w:val="24"/>
          <w:highlight w:val="none"/>
          <w:shd w:val="clear" w:fill="FFFFFF"/>
          <w:lang w:val="en-US" w:eastAsia="zh-CN" w:bidi="ar"/>
        </w:rPr>
        <w:t>合理低价法</w:t>
      </w:r>
      <w:r>
        <w:rPr>
          <w:rFonts w:hint="eastAsia" w:ascii="宋体" w:hAnsi="宋体" w:eastAsia="宋体" w:cs="宋体"/>
          <w:i w:val="0"/>
          <w:iCs w:val="0"/>
          <w:caps w:val="0"/>
          <w:color w:val="auto"/>
          <w:spacing w:val="0"/>
          <w:kern w:val="0"/>
          <w:sz w:val="24"/>
          <w:szCs w:val="24"/>
          <w:highlight w:val="none"/>
          <w:shd w:val="clear" w:fill="FFFFFF"/>
          <w:lang w:val="en-US" w:eastAsia="zh-CN" w:bidi="ar"/>
        </w:rPr>
        <w:t>”。</w:t>
      </w:r>
    </w:p>
    <w:p w14:paraId="73053B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七</w:t>
      </w:r>
      <w:r>
        <w:rPr>
          <w:rFonts w:hint="eastAsia" w:ascii="宋体" w:hAnsi="宋体" w:eastAsia="宋体" w:cs="宋体"/>
          <w:i w:val="0"/>
          <w:iCs w:val="0"/>
          <w:caps w:val="0"/>
          <w:color w:val="auto"/>
          <w:spacing w:val="0"/>
          <w:sz w:val="24"/>
          <w:szCs w:val="24"/>
          <w:highlight w:val="none"/>
          <w:shd w:val="clear" w:fill="FFFFFF"/>
        </w:rPr>
        <w:t>、招标文件的领取</w:t>
      </w:r>
    </w:p>
    <w:p w14:paraId="142C82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1、请符合资格条件的投标人于2025年</w:t>
      </w:r>
      <w:r>
        <w:rPr>
          <w:rFonts w:hint="eastAsia" w:cs="宋体"/>
          <w:i w:val="0"/>
          <w:iCs w:val="0"/>
          <w:caps w:val="0"/>
          <w:color w:val="auto"/>
          <w:spacing w:val="0"/>
          <w:sz w:val="24"/>
          <w:szCs w:val="24"/>
          <w:highlight w:val="none"/>
          <w:lang w:val="en-US" w:eastAsia="zh-CN"/>
        </w:rPr>
        <w:t>4</w:t>
      </w:r>
      <w:r>
        <w:rPr>
          <w:rFonts w:hint="eastAsia" w:ascii="宋体" w:hAnsi="宋体" w:eastAsia="宋体" w:cs="宋体"/>
          <w:i w:val="0"/>
          <w:iCs w:val="0"/>
          <w:caps w:val="0"/>
          <w:color w:val="auto"/>
          <w:spacing w:val="0"/>
          <w:sz w:val="24"/>
          <w:szCs w:val="24"/>
          <w:highlight w:val="none"/>
        </w:rPr>
        <w:t>月</w:t>
      </w:r>
      <w:r>
        <w:rPr>
          <w:rFonts w:hint="eastAsia" w:cs="宋体"/>
          <w:i w:val="0"/>
          <w:iCs w:val="0"/>
          <w:caps w:val="0"/>
          <w:color w:val="auto"/>
          <w:spacing w:val="0"/>
          <w:sz w:val="24"/>
          <w:szCs w:val="24"/>
          <w:highlight w:val="none"/>
          <w:lang w:val="en-US" w:eastAsia="zh-CN"/>
        </w:rPr>
        <w:t>24</w:t>
      </w:r>
      <w:r>
        <w:rPr>
          <w:rFonts w:hint="eastAsia" w:ascii="宋体" w:hAnsi="宋体" w:eastAsia="宋体" w:cs="宋体"/>
          <w:i w:val="0"/>
          <w:iCs w:val="0"/>
          <w:caps w:val="0"/>
          <w:color w:val="auto"/>
          <w:spacing w:val="0"/>
          <w:sz w:val="24"/>
          <w:szCs w:val="24"/>
          <w:highlight w:val="none"/>
        </w:rPr>
        <w:t>日至2025年</w:t>
      </w:r>
      <w:r>
        <w:rPr>
          <w:rFonts w:hint="eastAsia" w:cs="宋体"/>
          <w:i w:val="0"/>
          <w:iCs w:val="0"/>
          <w:caps w:val="0"/>
          <w:color w:val="auto"/>
          <w:spacing w:val="0"/>
          <w:sz w:val="24"/>
          <w:szCs w:val="24"/>
          <w:highlight w:val="none"/>
          <w:lang w:val="en-US" w:eastAsia="zh-CN"/>
        </w:rPr>
        <w:t>4</w:t>
      </w:r>
      <w:r>
        <w:rPr>
          <w:rFonts w:hint="eastAsia" w:ascii="宋体" w:hAnsi="宋体" w:eastAsia="宋体" w:cs="宋体"/>
          <w:i w:val="0"/>
          <w:iCs w:val="0"/>
          <w:caps w:val="0"/>
          <w:color w:val="auto"/>
          <w:spacing w:val="0"/>
          <w:sz w:val="24"/>
          <w:szCs w:val="24"/>
          <w:highlight w:val="none"/>
        </w:rPr>
        <w:t>月</w:t>
      </w:r>
      <w:r>
        <w:rPr>
          <w:rFonts w:hint="eastAsia" w:cs="宋体"/>
          <w:i w:val="0"/>
          <w:iCs w:val="0"/>
          <w:caps w:val="0"/>
          <w:color w:val="auto"/>
          <w:spacing w:val="0"/>
          <w:sz w:val="24"/>
          <w:szCs w:val="24"/>
          <w:highlight w:val="none"/>
          <w:lang w:val="en-US" w:eastAsia="zh-CN"/>
        </w:rPr>
        <w:t>29</w:t>
      </w:r>
      <w:r>
        <w:rPr>
          <w:rFonts w:hint="eastAsia" w:ascii="宋体" w:hAnsi="宋体" w:eastAsia="宋体" w:cs="宋体"/>
          <w:i w:val="0"/>
          <w:iCs w:val="0"/>
          <w:caps w:val="0"/>
          <w:color w:val="auto"/>
          <w:spacing w:val="0"/>
          <w:sz w:val="24"/>
          <w:szCs w:val="24"/>
          <w:highlight w:val="none"/>
        </w:rPr>
        <w:t>日（上午8：30-11：30；下午14：30-17:30时前，法定节假日除外）委派本单位正式人员携带单位介绍信或授权委托书至江苏建博工程管理咨询有限公司（地址：盐城市世纪大道619号金太阳装饰城B座六楼）获取招标文件，逾期的不予接收。</w:t>
      </w:r>
    </w:p>
    <w:p w14:paraId="73BAD5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2、投标文件的递交截止时间（开标时间）：2025年</w:t>
      </w:r>
      <w:r>
        <w:rPr>
          <w:rFonts w:hint="eastAsia" w:cs="宋体"/>
          <w:i w:val="0"/>
          <w:iCs w:val="0"/>
          <w:caps w:val="0"/>
          <w:color w:val="auto"/>
          <w:spacing w:val="0"/>
          <w:sz w:val="24"/>
          <w:szCs w:val="24"/>
          <w:highlight w:val="none"/>
          <w:lang w:val="en-US" w:eastAsia="zh-CN"/>
        </w:rPr>
        <w:t>4</w:t>
      </w:r>
      <w:r>
        <w:rPr>
          <w:rFonts w:hint="eastAsia" w:ascii="宋体" w:hAnsi="宋体" w:eastAsia="宋体" w:cs="宋体"/>
          <w:i w:val="0"/>
          <w:iCs w:val="0"/>
          <w:caps w:val="0"/>
          <w:color w:val="auto"/>
          <w:spacing w:val="0"/>
          <w:sz w:val="24"/>
          <w:szCs w:val="24"/>
          <w:highlight w:val="none"/>
        </w:rPr>
        <w:t>月</w:t>
      </w:r>
      <w:r>
        <w:rPr>
          <w:rFonts w:hint="eastAsia" w:cs="宋体"/>
          <w:i w:val="0"/>
          <w:iCs w:val="0"/>
          <w:caps w:val="0"/>
          <w:color w:val="auto"/>
          <w:spacing w:val="0"/>
          <w:sz w:val="24"/>
          <w:szCs w:val="24"/>
          <w:highlight w:val="none"/>
          <w:lang w:val="en-US" w:eastAsia="zh-CN"/>
        </w:rPr>
        <w:t>30</w:t>
      </w:r>
      <w:r>
        <w:rPr>
          <w:rFonts w:hint="eastAsia" w:ascii="宋体" w:hAnsi="宋体" w:eastAsia="宋体" w:cs="宋体"/>
          <w:i w:val="0"/>
          <w:iCs w:val="0"/>
          <w:caps w:val="0"/>
          <w:color w:val="auto"/>
          <w:spacing w:val="0"/>
          <w:sz w:val="24"/>
          <w:szCs w:val="24"/>
          <w:highlight w:val="none"/>
        </w:rPr>
        <w:t>日</w:t>
      </w:r>
      <w:r>
        <w:rPr>
          <w:rFonts w:hint="eastAsia" w:cs="宋体"/>
          <w:i w:val="0"/>
          <w:iCs w:val="0"/>
          <w:caps w:val="0"/>
          <w:color w:val="auto"/>
          <w:spacing w:val="0"/>
          <w:sz w:val="24"/>
          <w:szCs w:val="24"/>
          <w:highlight w:val="none"/>
          <w:lang w:val="en-US" w:eastAsia="zh-CN"/>
        </w:rPr>
        <w:t>10</w:t>
      </w:r>
      <w:r>
        <w:rPr>
          <w:rFonts w:hint="eastAsia" w:ascii="宋体" w:hAnsi="宋体" w:eastAsia="宋体" w:cs="宋体"/>
          <w:i w:val="0"/>
          <w:iCs w:val="0"/>
          <w:caps w:val="0"/>
          <w:color w:val="auto"/>
          <w:spacing w:val="0"/>
          <w:sz w:val="24"/>
          <w:szCs w:val="24"/>
          <w:highlight w:val="none"/>
        </w:rPr>
        <w:t>：00时。</w:t>
      </w:r>
    </w:p>
    <w:p w14:paraId="6E53DA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八</w:t>
      </w:r>
      <w:r>
        <w:rPr>
          <w:rFonts w:hint="eastAsia" w:ascii="宋体" w:hAnsi="宋体" w:eastAsia="宋体" w:cs="宋体"/>
          <w:i w:val="0"/>
          <w:iCs w:val="0"/>
          <w:caps w:val="0"/>
          <w:color w:val="auto"/>
          <w:spacing w:val="0"/>
          <w:sz w:val="24"/>
          <w:szCs w:val="24"/>
          <w:highlight w:val="none"/>
          <w:shd w:val="clear" w:fill="FFFFFF"/>
        </w:rPr>
        <w:t>、投标保证金的缴纳与退还</w:t>
      </w:r>
    </w:p>
    <w:p w14:paraId="212C5C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.1投标人在递交投标文件的同时，应按规定的金额、形式递交投标保证金，并作为其投标文件的组成部分。</w:t>
      </w:r>
      <w:r>
        <w:rPr>
          <w:rFonts w:hint="eastAsia" w:ascii="宋体" w:hAnsi="宋体" w:eastAsia="宋体" w:cs="宋体"/>
          <w:i w:val="0"/>
          <w:iCs w:val="0"/>
          <w:caps w:val="0"/>
          <w:color w:val="auto"/>
          <w:spacing w:val="0"/>
          <w:sz w:val="24"/>
          <w:szCs w:val="24"/>
          <w:highlight w:val="none"/>
          <w:shd w:val="clear" w:fill="FFFFFF"/>
          <w:lang w:val="en-US" w:eastAsia="zh-CN"/>
        </w:rPr>
        <w:t>在递交投标文件时将投标保证金或缴纳手续凭证递交给招标人</w:t>
      </w:r>
      <w:r>
        <w:rPr>
          <w:rFonts w:hint="eastAsia" w:ascii="宋体" w:hAnsi="宋体" w:eastAsia="宋体" w:cs="宋体"/>
          <w:i w:val="0"/>
          <w:iCs w:val="0"/>
          <w:caps w:val="0"/>
          <w:color w:val="auto"/>
          <w:spacing w:val="0"/>
          <w:sz w:val="24"/>
          <w:szCs w:val="24"/>
          <w:highlight w:val="none"/>
          <w:shd w:val="clear" w:fill="FFFFFF"/>
        </w:rPr>
        <w:t>。</w:t>
      </w:r>
    </w:p>
    <w:p w14:paraId="68460C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.2本</w:t>
      </w:r>
      <w:r>
        <w:rPr>
          <w:rFonts w:hint="eastAsia" w:ascii="宋体" w:hAnsi="宋体" w:eastAsia="宋体" w:cs="宋体"/>
          <w:i w:val="0"/>
          <w:iCs w:val="0"/>
          <w:caps w:val="0"/>
          <w:color w:val="auto"/>
          <w:spacing w:val="0"/>
          <w:sz w:val="24"/>
          <w:szCs w:val="24"/>
          <w:highlight w:val="none"/>
          <w:shd w:val="clear" w:fill="FFFFFF"/>
          <w:lang w:val="en-US" w:eastAsia="zh-CN"/>
        </w:rPr>
        <w:t>项目</w:t>
      </w:r>
      <w:r>
        <w:rPr>
          <w:rFonts w:hint="eastAsia" w:ascii="宋体" w:hAnsi="宋体" w:eastAsia="宋体" w:cs="宋体"/>
          <w:i w:val="0"/>
          <w:iCs w:val="0"/>
          <w:caps w:val="0"/>
          <w:color w:val="auto"/>
          <w:spacing w:val="0"/>
          <w:sz w:val="24"/>
          <w:szCs w:val="24"/>
          <w:highlight w:val="none"/>
          <w:shd w:val="clear" w:fill="FFFFFF"/>
        </w:rPr>
        <w:t>投标保证金数额为人民币</w:t>
      </w:r>
      <w:r>
        <w:rPr>
          <w:rFonts w:hint="eastAsia" w:cs="宋体"/>
          <w:i w:val="0"/>
          <w:iCs w:val="0"/>
          <w:caps w:val="0"/>
          <w:color w:val="auto"/>
          <w:spacing w:val="0"/>
          <w:sz w:val="24"/>
          <w:szCs w:val="24"/>
          <w:highlight w:val="none"/>
          <w:shd w:val="clear" w:fill="FFFFFF"/>
          <w:lang w:val="en-US" w:eastAsia="zh-CN"/>
        </w:rPr>
        <w:t>叁仟元</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¥3000.00</w:t>
      </w:r>
      <w:r>
        <w:rPr>
          <w:rFonts w:hint="eastAsia" w:ascii="宋体" w:hAnsi="宋体" w:eastAsia="宋体" w:cs="宋体"/>
          <w:i w:val="0"/>
          <w:iCs w:val="0"/>
          <w:caps w:val="0"/>
          <w:color w:val="auto"/>
          <w:spacing w:val="0"/>
          <w:sz w:val="24"/>
          <w:szCs w:val="24"/>
          <w:highlight w:val="none"/>
          <w:shd w:val="clear" w:fill="FFFFFF"/>
        </w:rPr>
        <w:t>）元。投标人须在本</w:t>
      </w:r>
      <w:r>
        <w:rPr>
          <w:rFonts w:hint="eastAsia" w:ascii="宋体" w:hAnsi="宋体" w:eastAsia="宋体" w:cs="宋体"/>
          <w:i w:val="0"/>
          <w:iCs w:val="0"/>
          <w:caps w:val="0"/>
          <w:color w:val="auto"/>
          <w:spacing w:val="0"/>
          <w:sz w:val="24"/>
          <w:szCs w:val="24"/>
          <w:highlight w:val="none"/>
          <w:shd w:val="clear" w:fill="FFFFFF"/>
          <w:lang w:val="en-US" w:eastAsia="zh-CN"/>
        </w:rPr>
        <w:t>项目</w:t>
      </w:r>
      <w:r>
        <w:rPr>
          <w:rFonts w:hint="eastAsia" w:ascii="宋体" w:hAnsi="宋体" w:eastAsia="宋体" w:cs="宋体"/>
          <w:i w:val="0"/>
          <w:iCs w:val="0"/>
          <w:caps w:val="0"/>
          <w:color w:val="auto"/>
          <w:spacing w:val="0"/>
          <w:sz w:val="24"/>
          <w:szCs w:val="24"/>
          <w:highlight w:val="none"/>
          <w:shd w:val="clear" w:fill="FFFFFF"/>
        </w:rPr>
        <w:t>开标前办理投标保证金缴纳手续，投标保证金有效期与投标有效期一致。各投标人必须以企业法人基本存款账户办理保证金缴纳手续，否则不予接受。</w:t>
      </w:r>
    </w:p>
    <w:p w14:paraId="30BF6C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default"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lang w:val="en-US" w:eastAsia="zh-CN"/>
        </w:rPr>
        <w:t>8.3</w:t>
      </w:r>
      <w:r>
        <w:rPr>
          <w:rFonts w:hint="eastAsia" w:ascii="宋体" w:hAnsi="宋体" w:eastAsia="宋体" w:cs="宋体"/>
          <w:i w:val="0"/>
          <w:iCs w:val="0"/>
          <w:caps w:val="0"/>
          <w:color w:val="auto"/>
          <w:spacing w:val="0"/>
          <w:sz w:val="24"/>
          <w:szCs w:val="24"/>
          <w:highlight w:val="none"/>
          <w:shd w:val="clear" w:fill="FFFFFF"/>
        </w:rPr>
        <w:t>投标保证金可采用</w:t>
      </w:r>
      <w:r>
        <w:rPr>
          <w:rFonts w:hint="eastAsia" w:ascii="宋体" w:hAnsi="宋体" w:eastAsia="宋体" w:cs="Times New Roman"/>
          <w:bCs/>
          <w:color w:val="auto"/>
          <w:kern w:val="0"/>
          <w:sz w:val="24"/>
          <w:highlight w:val="none"/>
        </w:rPr>
        <w:t>银行汇票</w:t>
      </w:r>
      <w:r>
        <w:rPr>
          <w:rFonts w:hint="eastAsia" w:ascii="宋体" w:hAnsi="宋体" w:eastAsia="宋体" w:cs="Times New Roman"/>
          <w:bCs/>
          <w:color w:val="auto"/>
          <w:kern w:val="0"/>
          <w:sz w:val="24"/>
          <w:highlight w:val="none"/>
          <w:lang w:eastAsia="zh-CN"/>
        </w:rPr>
        <w:t>、</w:t>
      </w:r>
      <w:r>
        <w:rPr>
          <w:rFonts w:hint="eastAsia" w:ascii="宋体" w:hAnsi="宋体" w:eastAsia="宋体" w:cs="Times New Roman"/>
          <w:bCs/>
          <w:color w:val="auto"/>
          <w:kern w:val="0"/>
          <w:sz w:val="24"/>
          <w:highlight w:val="none"/>
          <w:lang w:val="en-US" w:eastAsia="zh-CN"/>
        </w:rPr>
        <w:t>本票、保函、电汇</w:t>
      </w:r>
      <w:r>
        <w:rPr>
          <w:rFonts w:hint="eastAsia" w:ascii="宋体" w:hAnsi="宋体" w:eastAsia="宋体" w:cs="宋体"/>
          <w:i w:val="0"/>
          <w:iCs w:val="0"/>
          <w:caps w:val="0"/>
          <w:color w:val="auto"/>
          <w:spacing w:val="0"/>
          <w:sz w:val="24"/>
          <w:szCs w:val="24"/>
          <w:highlight w:val="none"/>
          <w:shd w:val="clear" w:fill="FFFFFF"/>
          <w:lang w:val="en-US" w:eastAsia="zh-CN"/>
        </w:rPr>
        <w:t>、转账、银行</w:t>
      </w:r>
      <w:r>
        <w:rPr>
          <w:rFonts w:hint="eastAsia" w:ascii="宋体" w:hAnsi="宋体" w:eastAsia="宋体" w:cs="宋体"/>
          <w:i w:val="0"/>
          <w:iCs w:val="0"/>
          <w:caps w:val="0"/>
          <w:color w:val="auto"/>
          <w:spacing w:val="0"/>
          <w:sz w:val="24"/>
          <w:szCs w:val="24"/>
          <w:highlight w:val="none"/>
          <w:shd w:val="clear" w:fill="FFFFFF"/>
        </w:rPr>
        <w:t>保函</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ascii="宋体" w:hAnsi="宋体" w:eastAsia="宋体" w:cs="宋体"/>
          <w:i w:val="0"/>
          <w:iCs w:val="0"/>
          <w:caps w:val="0"/>
          <w:color w:val="auto"/>
          <w:spacing w:val="0"/>
          <w:sz w:val="24"/>
          <w:szCs w:val="24"/>
          <w:highlight w:val="none"/>
          <w:shd w:val="clear" w:fill="FFFFFF"/>
          <w:lang w:val="en-US" w:eastAsia="zh-CN"/>
        </w:rPr>
        <w:t>保险机构</w:t>
      </w:r>
      <w:r>
        <w:rPr>
          <w:rFonts w:hint="eastAsia" w:ascii="宋体" w:hAnsi="宋体" w:eastAsia="宋体" w:cs="宋体"/>
          <w:i w:val="0"/>
          <w:iCs w:val="0"/>
          <w:caps w:val="0"/>
          <w:color w:val="auto"/>
          <w:spacing w:val="0"/>
          <w:sz w:val="24"/>
          <w:szCs w:val="24"/>
          <w:highlight w:val="none"/>
          <w:shd w:val="clear" w:fill="FFFFFF"/>
        </w:rPr>
        <w:t>保单</w:t>
      </w:r>
      <w:r>
        <w:rPr>
          <w:rFonts w:hint="eastAsia" w:cs="宋体"/>
          <w:i w:val="0"/>
          <w:iCs w:val="0"/>
          <w:caps w:val="0"/>
          <w:color w:val="auto"/>
          <w:spacing w:val="0"/>
          <w:sz w:val="24"/>
          <w:szCs w:val="24"/>
          <w:highlight w:val="none"/>
          <w:shd w:val="clear" w:fill="FFFFFF"/>
          <w:lang w:eastAsia="zh-CN"/>
        </w:rPr>
        <w:t>、</w:t>
      </w:r>
      <w:r>
        <w:rPr>
          <w:rFonts w:hint="eastAsia" w:ascii="宋体" w:hAnsi="宋体" w:eastAsia="宋体" w:cs="宋体"/>
          <w:b/>
          <w:bCs/>
          <w:color w:val="auto"/>
          <w:kern w:val="0"/>
          <w:sz w:val="24"/>
          <w:szCs w:val="24"/>
          <w:highlight w:val="none"/>
          <w:shd w:val="clear" w:color="auto" w:fill="FFFFFF"/>
        </w:rPr>
        <w:t>信用报告及信用承诺函</w:t>
      </w:r>
      <w:r>
        <w:rPr>
          <w:rFonts w:hint="eastAsia" w:ascii="宋体" w:hAnsi="宋体" w:eastAsia="宋体" w:cs="宋体"/>
          <w:i w:val="0"/>
          <w:iCs w:val="0"/>
          <w:caps w:val="0"/>
          <w:color w:val="auto"/>
          <w:spacing w:val="0"/>
          <w:sz w:val="24"/>
          <w:szCs w:val="24"/>
          <w:highlight w:val="none"/>
          <w:shd w:val="clear" w:fill="FFFFFF"/>
          <w:lang w:val="en-US" w:eastAsia="zh-CN"/>
        </w:rPr>
        <w:t>等</w:t>
      </w:r>
      <w:r>
        <w:rPr>
          <w:rFonts w:hint="eastAsia" w:ascii="宋体" w:hAnsi="宋体" w:eastAsia="宋体" w:cs="宋体"/>
          <w:i w:val="0"/>
          <w:iCs w:val="0"/>
          <w:caps w:val="0"/>
          <w:color w:val="auto"/>
          <w:spacing w:val="0"/>
          <w:sz w:val="24"/>
          <w:szCs w:val="24"/>
          <w:highlight w:val="none"/>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ascii="宋体" w:hAnsi="宋体" w:cs="宋体"/>
          <w:color w:val="auto"/>
          <w:kern w:val="0"/>
          <w:sz w:val="24"/>
        </w:rPr>
        <w:t>开户名：</w:t>
      </w:r>
      <w:r>
        <w:rPr>
          <w:rFonts w:hint="eastAsia" w:cs="宋体"/>
          <w:color w:val="auto"/>
          <w:kern w:val="0"/>
          <w:sz w:val="24"/>
          <w:lang w:val="en-US" w:eastAsia="zh-CN"/>
        </w:rPr>
        <w:t>盐城市大数据集团有限公司</w:t>
      </w:r>
      <w:r>
        <w:rPr>
          <w:rFonts w:hint="eastAsia" w:ascii="宋体" w:hAnsi="宋体" w:cs="宋体"/>
          <w:color w:val="auto"/>
          <w:kern w:val="0"/>
          <w:sz w:val="24"/>
          <w:lang w:val="en-US" w:eastAsia="zh-CN"/>
        </w:rPr>
        <w:t xml:space="preserve"> </w:t>
      </w:r>
      <w:r>
        <w:rPr>
          <w:rFonts w:hint="eastAsia" w:ascii="宋体" w:hAnsi="宋体" w:cs="宋体"/>
          <w:color w:val="auto"/>
          <w:kern w:val="0"/>
          <w:sz w:val="24"/>
          <w:lang w:eastAsia="zh-CN"/>
        </w:rPr>
        <w:t>；开户行：兴业银行盐城分行；账号：402010100100050711</w:t>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cs="宋体"/>
          <w:i w:val="0"/>
          <w:iCs w:val="0"/>
          <w:caps w:val="0"/>
          <w:color w:val="auto"/>
          <w:spacing w:val="0"/>
          <w:sz w:val="24"/>
          <w:szCs w:val="24"/>
          <w:highlight w:val="none"/>
          <w:shd w:val="clear" w:fill="FFFFFF"/>
          <w:lang w:eastAsia="zh-CN"/>
        </w:rPr>
        <w:t>。</w:t>
      </w:r>
    </w:p>
    <w:p w14:paraId="6CE290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r>
        <w:rPr>
          <w:rFonts w:hint="eastAsia" w:cs="宋体"/>
          <w:i w:val="0"/>
          <w:iCs w:val="0"/>
          <w:caps w:val="0"/>
          <w:color w:val="auto"/>
          <w:spacing w:val="0"/>
          <w:sz w:val="24"/>
          <w:szCs w:val="24"/>
          <w:highlight w:val="none"/>
          <w:shd w:val="clear" w:fill="FFFFFF"/>
          <w:lang w:val="en-US" w:eastAsia="zh-CN"/>
        </w:rPr>
        <w:t>8.3.1采用银行汇票、本票、保函、电汇、转账、银行保函、保险机构保单缴纳投标保证金的，</w:t>
      </w:r>
      <w:r>
        <w:rPr>
          <w:rFonts w:hint="eastAsia" w:ascii="宋体" w:hAnsi="宋体"/>
          <w:b/>
          <w:color w:val="auto"/>
          <w:kern w:val="0"/>
          <w:sz w:val="24"/>
          <w:highlight w:val="none"/>
        </w:rPr>
        <w:t>投标截止时间之前，各投标人</w:t>
      </w:r>
      <w:r>
        <w:rPr>
          <w:rFonts w:hint="eastAsia" w:ascii="宋体" w:hAnsi="宋体"/>
          <w:b/>
          <w:color w:val="auto"/>
          <w:kern w:val="0"/>
          <w:sz w:val="24"/>
          <w:highlight w:val="none"/>
          <w:lang w:val="en-US" w:eastAsia="zh-CN"/>
        </w:rPr>
        <w:t>可</w:t>
      </w:r>
      <w:r>
        <w:rPr>
          <w:rFonts w:hint="eastAsia" w:ascii="宋体" w:hAnsi="宋体"/>
          <w:b/>
          <w:color w:val="auto"/>
          <w:kern w:val="0"/>
          <w:sz w:val="24"/>
          <w:highlight w:val="none"/>
        </w:rPr>
        <w:t>将银行汇票</w:t>
      </w:r>
      <w:r>
        <w:rPr>
          <w:rFonts w:hint="eastAsia" w:ascii="宋体" w:hAnsi="宋体"/>
          <w:b/>
          <w:color w:val="auto"/>
          <w:kern w:val="0"/>
          <w:sz w:val="24"/>
          <w:highlight w:val="none"/>
          <w:lang w:val="en-US" w:eastAsia="zh-CN"/>
        </w:rPr>
        <w:t>或本票</w:t>
      </w:r>
      <w:r>
        <w:rPr>
          <w:rFonts w:hint="eastAsia" w:ascii="宋体" w:hAnsi="宋体"/>
          <w:b/>
          <w:color w:val="auto"/>
          <w:kern w:val="0"/>
          <w:sz w:val="24"/>
          <w:highlight w:val="none"/>
        </w:rPr>
        <w:t>原件</w:t>
      </w:r>
      <w:r>
        <w:rPr>
          <w:rFonts w:hint="eastAsia" w:ascii="宋体" w:hAnsi="宋体"/>
          <w:b/>
          <w:color w:val="auto"/>
          <w:kern w:val="0"/>
          <w:sz w:val="24"/>
          <w:highlight w:val="none"/>
          <w:lang w:val="en-US" w:eastAsia="zh-CN"/>
        </w:rPr>
        <w:t>或保函（保单）材料或电汇转账银行回执单</w:t>
      </w:r>
      <w:r>
        <w:rPr>
          <w:rFonts w:hint="eastAsia" w:ascii="宋体" w:hAnsi="宋体"/>
          <w:b/>
          <w:color w:val="auto"/>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color w:val="auto"/>
          <w:kern w:val="0"/>
          <w:sz w:val="24"/>
          <w:highlight w:val="none"/>
          <w:lang w:val="en-US" w:eastAsia="zh-CN"/>
        </w:rPr>
        <w:t>等证明材料</w:t>
      </w:r>
      <w:r>
        <w:rPr>
          <w:rFonts w:hint="eastAsia" w:ascii="宋体" w:hAnsi="宋体"/>
          <w:b/>
          <w:color w:val="auto"/>
          <w:kern w:val="0"/>
          <w:sz w:val="24"/>
          <w:highlight w:val="none"/>
        </w:rPr>
        <w:t>的，招标人将不予接收其投标文件。</w:t>
      </w:r>
    </w:p>
    <w:p w14:paraId="27B413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cs="宋体"/>
          <w:i w:val="0"/>
          <w:iCs w:val="0"/>
          <w:caps w:val="0"/>
          <w:color w:val="auto"/>
          <w:spacing w:val="0"/>
          <w:sz w:val="24"/>
          <w:szCs w:val="24"/>
          <w:highlight w:val="none"/>
          <w:shd w:val="clear" w:fill="FFFFFF"/>
          <w:lang w:val="en-US" w:eastAsia="zh-CN"/>
        </w:rPr>
        <w:t>3.2</w:t>
      </w:r>
      <w:r>
        <w:rPr>
          <w:rFonts w:hint="eastAsia" w:ascii="宋体" w:hAnsi="宋体" w:eastAsia="宋体" w:cs="宋体"/>
          <w:i w:val="0"/>
          <w:iCs w:val="0"/>
          <w:caps w:val="0"/>
          <w:color w:val="auto"/>
          <w:spacing w:val="0"/>
          <w:sz w:val="24"/>
          <w:szCs w:val="24"/>
          <w:highlight w:val="none"/>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color w:val="auto"/>
          <w:kern w:val="0"/>
          <w:sz w:val="24"/>
          <w:highlight w:val="none"/>
        </w:rPr>
        <w:t>投标截止时间之前</w:t>
      </w:r>
      <w:r>
        <w:rPr>
          <w:rFonts w:hint="eastAsia" w:ascii="宋体" w:hAnsi="宋体" w:eastAsia="宋体" w:cs="宋体"/>
          <w:b/>
          <w:bCs w:val="0"/>
          <w:i w:val="0"/>
          <w:iCs w:val="0"/>
          <w:caps w:val="0"/>
          <w:color w:val="auto"/>
          <w:spacing w:val="0"/>
          <w:sz w:val="24"/>
          <w:szCs w:val="24"/>
          <w:highlight w:val="none"/>
          <w:shd w:val="clear" w:fill="FFFFFF"/>
          <w:lang w:val="en-US" w:eastAsia="zh-CN"/>
        </w:rPr>
        <w:t>需提供第三方信用报告原件复印件</w:t>
      </w:r>
      <w:r>
        <w:rPr>
          <w:rFonts w:hint="eastAsia" w:ascii="宋体" w:hAnsi="宋体"/>
          <w:b/>
          <w:bCs w:val="0"/>
          <w:color w:val="auto"/>
          <w:kern w:val="0"/>
          <w:sz w:val="24"/>
          <w:highlight w:val="none"/>
        </w:rPr>
        <w:t>至开标现场交工作人员核验</w:t>
      </w:r>
      <w:r>
        <w:rPr>
          <w:rFonts w:hint="eastAsia" w:ascii="宋体" w:hAnsi="宋体" w:eastAsia="宋体" w:cs="宋体"/>
          <w:b/>
          <w:bCs/>
          <w:i w:val="0"/>
          <w:iCs w:val="0"/>
          <w:caps w:val="0"/>
          <w:color w:val="auto"/>
          <w:spacing w:val="0"/>
          <w:sz w:val="24"/>
          <w:szCs w:val="24"/>
          <w:highlight w:val="none"/>
          <w:shd w:val="clear" w:fill="FFFFFF"/>
          <w:lang w:val="en-US" w:eastAsia="zh-CN"/>
        </w:rPr>
        <w:t>，且信用报告概述页等内容通过“信用盐城网”可查证。</w:t>
      </w:r>
    </w:p>
    <w:p w14:paraId="692D12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8.3.3信用承诺替代投标保证金。本工程接受投标人以“投标保证金信用承诺函”方式替代投标保证金，投标保证金信用承诺函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highlight w:val="none"/>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highlight w:val="none"/>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highlight w:val="none"/>
          <w:shd w:val="clear" w:fill="FFFFFF"/>
          <w:lang w:val="en-US" w:eastAsia="zh-CN"/>
        </w:rPr>
        <w:t>，除法定例外情况，在有效期内(提交投标文件截止时间后到招标文件规定投标有效期终止前)不得撤销撤回(投标保证金信用承诺函参照附件A)。</w:t>
      </w:r>
    </w:p>
    <w:p w14:paraId="4351A5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45CDA1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30F21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采用信用承诺替代投标保证金的，不免除投标人违法、违规、违约责任的义务。</w:t>
      </w:r>
    </w:p>
    <w:p w14:paraId="759E8D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cs="宋体"/>
          <w:b/>
          <w:bCs/>
          <w:i w:val="0"/>
          <w:iCs w:val="0"/>
          <w:caps w:val="0"/>
          <w:color w:val="auto"/>
          <w:spacing w:val="0"/>
          <w:sz w:val="24"/>
          <w:szCs w:val="24"/>
          <w:highlight w:val="none"/>
          <w:shd w:val="clear" w:fill="FFFFFF"/>
          <w:lang w:val="en-US" w:eastAsia="zh-CN"/>
        </w:rPr>
        <w:t>8.4</w:t>
      </w:r>
      <w:r>
        <w:rPr>
          <w:rFonts w:hint="eastAsia" w:ascii="宋体" w:hAnsi="宋体" w:eastAsia="宋体" w:cs="宋体"/>
          <w:b/>
          <w:bCs/>
          <w:i w:val="0"/>
          <w:iCs w:val="0"/>
          <w:caps w:val="0"/>
          <w:color w:val="auto"/>
          <w:spacing w:val="0"/>
          <w:sz w:val="24"/>
          <w:szCs w:val="24"/>
          <w:highlight w:val="none"/>
          <w:shd w:val="clear" w:fill="FFFFFF"/>
        </w:rPr>
        <w:t>未按上述要求交纳投标保证金的，经评标委员会认定后，其投标文件为无效投标文件。</w:t>
      </w:r>
    </w:p>
    <w:p w14:paraId="4D3B5C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b/>
          <w:bCs/>
          <w:i w:val="0"/>
          <w:iCs w:val="0"/>
          <w:caps w:val="0"/>
          <w:color w:val="auto"/>
          <w:spacing w:val="0"/>
          <w:sz w:val="24"/>
          <w:szCs w:val="24"/>
          <w:highlight w:val="none"/>
          <w:shd w:val="clear" w:fill="FFFFFF"/>
        </w:rPr>
        <w:t>特别提醒：以个人、企业的办事处、分公司、子公司名义或从他人账户、投标人企业的其他账户缴纳的投标保证金无效。</w:t>
      </w:r>
    </w:p>
    <w:p w14:paraId="7867B7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投标保证金的退还</w:t>
      </w:r>
    </w:p>
    <w:p w14:paraId="194F6C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.1有投诉(异议)的项目，所有投标人投标保证金一律暂不退还。</w:t>
      </w:r>
    </w:p>
    <w:p w14:paraId="4859C7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因恶意投诉（异议）的、利用保密信息投诉的及投诉（异议）不实的投诉行为被通报的，自通报之日起6个月内，投诉（异议）人所有投标项目的投标保证金在招标项目签订合同后予以退还。</w:t>
      </w:r>
    </w:p>
    <w:p w14:paraId="3B908D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auto"/>
          <w:spacing w:val="0"/>
          <w:sz w:val="24"/>
          <w:szCs w:val="24"/>
          <w:highlight w:val="none"/>
          <w:shd w:val="clear" w:fill="FFFFFF"/>
          <w:lang w:val="en-US" w:eastAsia="zh-CN"/>
        </w:rPr>
        <w:t>部门</w:t>
      </w:r>
      <w:r>
        <w:rPr>
          <w:rFonts w:hint="eastAsia" w:ascii="宋体" w:hAnsi="宋体" w:eastAsia="宋体" w:cs="宋体"/>
          <w:i w:val="0"/>
          <w:iCs w:val="0"/>
          <w:caps w:val="0"/>
          <w:color w:val="auto"/>
          <w:spacing w:val="0"/>
          <w:sz w:val="24"/>
          <w:szCs w:val="24"/>
          <w:highlight w:val="none"/>
          <w:shd w:val="clear" w:fill="FFFFFF"/>
        </w:rPr>
        <w:t>存档后，办理退款手续。</w:t>
      </w:r>
    </w:p>
    <w:p w14:paraId="6FBF60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8</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.2保证金退还时间：</w:t>
      </w:r>
    </w:p>
    <w:p w14:paraId="6EC31C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auto"/>
          <w:spacing w:val="0"/>
          <w:sz w:val="24"/>
          <w:szCs w:val="24"/>
          <w:highlight w:val="none"/>
          <w:shd w:val="clear" w:fill="FFFFFF"/>
        </w:rPr>
        <w:br w:type="textWrapping"/>
      </w:r>
      <w:r>
        <w:rPr>
          <w:rFonts w:hint="eastAsia" w:ascii="宋体" w:hAnsi="宋体" w:eastAsia="宋体" w:cs="宋体"/>
          <w:i w:val="0"/>
          <w:iCs w:val="0"/>
          <w:caps w:val="0"/>
          <w:color w:val="auto"/>
          <w:spacing w:val="0"/>
          <w:sz w:val="24"/>
          <w:szCs w:val="24"/>
          <w:highlight w:val="none"/>
          <w:shd w:val="clear" w:fill="FFFFFF"/>
          <w:lang w:val="en-US" w:eastAsia="zh-CN"/>
        </w:rPr>
        <w:t xml:space="preserve">    8</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.3有下列情形之一的，投标保证金将不予退还：</w:t>
      </w:r>
    </w:p>
    <w:p w14:paraId="5CDB58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①投标人在规定的投标有效期内撤销或修改其投标文件的；</w:t>
      </w:r>
    </w:p>
    <w:p w14:paraId="79594B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②中标人无正当理由拒绝签订合同；</w:t>
      </w:r>
    </w:p>
    <w:p w14:paraId="69DBA2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③中标人弄虚作假骗取中标，其他投标虚假、恶意投诉或反映，干扰招投标活动的；</w:t>
      </w:r>
    </w:p>
    <w:p w14:paraId="36BD3E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④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139921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九</w:t>
      </w:r>
      <w:r>
        <w:rPr>
          <w:rFonts w:hint="eastAsia" w:ascii="宋体" w:hAnsi="宋体" w:eastAsia="宋体" w:cs="宋体"/>
          <w:i w:val="0"/>
          <w:iCs w:val="0"/>
          <w:caps w:val="0"/>
          <w:color w:val="auto"/>
          <w:spacing w:val="0"/>
          <w:sz w:val="24"/>
          <w:szCs w:val="24"/>
          <w:highlight w:val="none"/>
          <w:shd w:val="clear" w:fill="FFFFFF"/>
        </w:rPr>
        <w:t>、本项目严禁挂靠、转包，一经核实挂靠、转包的，将被取消投标、中标资格，并按相关规定进行处罚，直至建议有关部门吊销资质证书。</w:t>
      </w:r>
    </w:p>
    <w:p w14:paraId="716900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cs="宋体"/>
          <w:i w:val="0"/>
          <w:iCs w:val="0"/>
          <w:caps w:val="0"/>
          <w:color w:val="auto"/>
          <w:spacing w:val="0"/>
          <w:sz w:val="24"/>
          <w:szCs w:val="24"/>
          <w:highlight w:val="none"/>
          <w:shd w:val="clear" w:fill="FFFFFF"/>
          <w:lang w:val="en-US" w:eastAsia="zh-CN"/>
        </w:rPr>
        <w:t>十</w:t>
      </w:r>
      <w:r>
        <w:rPr>
          <w:rFonts w:hint="eastAsia" w:ascii="宋体" w:hAnsi="宋体" w:eastAsia="宋体" w:cs="宋体"/>
          <w:i w:val="0"/>
          <w:iCs w:val="0"/>
          <w:caps w:val="0"/>
          <w:color w:val="auto"/>
          <w:spacing w:val="0"/>
          <w:sz w:val="24"/>
          <w:szCs w:val="24"/>
          <w:highlight w:val="none"/>
          <w:shd w:val="clear" w:fill="FFFFFF"/>
        </w:rPr>
        <w:t>、联系方式</w:t>
      </w:r>
    </w:p>
    <w:p w14:paraId="3780A5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招标人：</w:t>
      </w:r>
      <w:r>
        <w:rPr>
          <w:rFonts w:hint="eastAsia" w:cs="宋体"/>
          <w:i w:val="0"/>
          <w:iCs w:val="0"/>
          <w:caps w:val="0"/>
          <w:color w:val="auto"/>
          <w:spacing w:val="0"/>
          <w:kern w:val="0"/>
          <w:sz w:val="24"/>
          <w:szCs w:val="24"/>
          <w:highlight w:val="none"/>
          <w:shd w:val="clear" w:fill="FFFFFF"/>
          <w:lang w:val="en-US" w:eastAsia="zh-CN" w:bidi="ar"/>
        </w:rPr>
        <w:t>盐城市大数据集团有限公司</w:t>
      </w:r>
      <w:r>
        <w:rPr>
          <w:rFonts w:hint="eastAsia" w:ascii="宋体" w:hAnsi="宋体" w:eastAsia="宋体" w:cs="宋体"/>
          <w:i w:val="0"/>
          <w:iCs w:val="0"/>
          <w:caps w:val="0"/>
          <w:color w:val="auto"/>
          <w:spacing w:val="0"/>
          <w:sz w:val="24"/>
          <w:szCs w:val="24"/>
          <w:highlight w:val="none"/>
          <w:shd w:val="clear" w:fill="FFFFFF"/>
        </w:rPr>
        <w:t> </w:t>
      </w:r>
    </w:p>
    <w:p w14:paraId="0B801A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cs="宋体"/>
          <w:i w:val="0"/>
          <w:iCs w:val="0"/>
          <w:caps w:val="0"/>
          <w:color w:val="auto"/>
          <w:spacing w:val="0"/>
          <w:sz w:val="24"/>
          <w:szCs w:val="24"/>
          <w:highlight w:val="none"/>
          <w:shd w:val="clear" w:fill="FFFFFF"/>
          <w:lang w:val="en-US" w:eastAsia="zh-CN"/>
        </w:rPr>
        <w:t>徐主任</w:t>
      </w:r>
    </w:p>
    <w:p w14:paraId="3A6C55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rPr>
        <w:t>联系电话：18961977036 </w:t>
      </w:r>
    </w:p>
    <w:p w14:paraId="0994A0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shd w:val="clear" w:fill="FFFFFF"/>
        </w:rPr>
      </w:pPr>
    </w:p>
    <w:p w14:paraId="631B96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default" w:ascii="宋体" w:hAnsi="宋体" w:eastAsia="宋体" w:cs="宋体"/>
          <w:i w:val="0"/>
          <w:iCs w:val="0"/>
          <w:caps w:val="0"/>
          <w:color w:val="auto"/>
          <w:spacing w:val="0"/>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fill="FFFFFF"/>
        </w:rPr>
        <w:t>招标代理机构：</w:t>
      </w:r>
      <w:r>
        <w:rPr>
          <w:rFonts w:hint="eastAsia" w:ascii="宋体" w:hAnsi="宋体" w:eastAsia="宋体" w:cs="宋体"/>
          <w:i w:val="0"/>
          <w:iCs w:val="0"/>
          <w:caps w:val="0"/>
          <w:color w:val="auto"/>
          <w:spacing w:val="0"/>
          <w:sz w:val="24"/>
          <w:szCs w:val="24"/>
          <w:highlight w:val="none"/>
          <w:shd w:val="clear" w:fill="FFFFFF"/>
          <w:lang w:val="en-US" w:eastAsia="zh-CN"/>
        </w:rPr>
        <w:t>江苏建博工程管理咨询有限公司</w:t>
      </w:r>
    </w:p>
    <w:p w14:paraId="547420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atLeast"/>
        <w:ind w:left="0" w:right="0" w:firstLine="482"/>
        <w:jc w:val="both"/>
        <w:textAlignment w:val="auto"/>
        <w:rPr>
          <w:rFonts w:hint="eastAsia" w:ascii="宋体" w:hAnsi="宋体" w:eastAsia="宋体" w:cs="宋体"/>
          <w:i w:val="0"/>
          <w:iCs w:val="0"/>
          <w:caps w:val="0"/>
          <w:color w:val="auto"/>
          <w:spacing w:val="0"/>
          <w:sz w:val="24"/>
          <w:szCs w:val="24"/>
          <w:highlight w:val="none"/>
          <w:lang w:eastAsia="zh-CN"/>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ascii="宋体" w:hAnsi="宋体" w:eastAsia="宋体" w:cs="宋体"/>
          <w:i w:val="0"/>
          <w:iCs w:val="0"/>
          <w:caps w:val="0"/>
          <w:color w:val="auto"/>
          <w:spacing w:val="0"/>
          <w:sz w:val="24"/>
          <w:szCs w:val="24"/>
          <w:highlight w:val="none"/>
          <w:shd w:val="clear" w:fill="FFFFFF"/>
          <w:lang w:val="en-US" w:eastAsia="zh-CN"/>
        </w:rPr>
        <w:t>孙女士</w:t>
      </w:r>
    </w:p>
    <w:p w14:paraId="7FA53F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fill="FFFFFF"/>
        </w:rPr>
        <w:t>联系电话：</w:t>
      </w:r>
      <w:r>
        <w:rPr>
          <w:rFonts w:hint="eastAsia" w:ascii="宋体" w:hAnsi="宋体" w:eastAsia="宋体" w:cs="宋体"/>
          <w:i w:val="0"/>
          <w:iCs w:val="0"/>
          <w:caps w:val="0"/>
          <w:color w:val="auto"/>
          <w:spacing w:val="0"/>
          <w:sz w:val="24"/>
          <w:szCs w:val="24"/>
          <w:highlight w:val="none"/>
          <w:shd w:val="clear" w:fill="FFFFFF"/>
          <w:lang w:val="en-US" w:eastAsia="zh-CN"/>
        </w:rPr>
        <w:t>15605108891</w:t>
      </w:r>
    </w:p>
    <w:p w14:paraId="6F9C7555">
      <w:pPr>
        <w:snapToGrid w:val="0"/>
        <w:textAlignment w:val="baseline"/>
        <w:rPr>
          <w:rStyle w:val="7"/>
          <w:rFonts w:ascii="宋体" w:hAnsi="宋体" w:eastAsia="宋体"/>
          <w:color w:val="auto"/>
          <w:highlight w:val="none"/>
        </w:rPr>
      </w:pPr>
    </w:p>
    <w:p w14:paraId="1745E902">
      <w:pPr>
        <w:snapToGrid w:val="0"/>
        <w:textAlignment w:val="baseline"/>
        <w:rPr>
          <w:rFonts w:hint="default" w:ascii="宋体" w:hAnsi="宋体" w:eastAsia="宋体" w:cs="宋体"/>
          <w:i w:val="0"/>
          <w:iCs w:val="0"/>
          <w:caps w:val="0"/>
          <w:color w:val="auto"/>
          <w:spacing w:val="0"/>
          <w:kern w:val="0"/>
          <w:sz w:val="24"/>
          <w:szCs w:val="24"/>
          <w:highlight w:val="none"/>
          <w:shd w:val="clear" w:fill="FFFFFF"/>
          <w:lang w:val="en-US" w:eastAsia="zh-CN" w:bidi="ar-SA"/>
        </w:rPr>
      </w:pPr>
      <w:r>
        <w:rPr>
          <w:rStyle w:val="7"/>
          <w:rFonts w:hint="eastAsia" w:ascii="宋体" w:hAnsi="宋体" w:eastAsia="宋体"/>
          <w:color w:val="auto"/>
          <w:highlight w:val="none"/>
          <w:lang w:val="en-US"/>
        </w:rPr>
        <w:t xml:space="preserve">  </w:t>
      </w:r>
      <w:r>
        <w:rPr>
          <w:rFonts w:hint="eastAsia" w:ascii="宋体" w:hAnsi="宋体" w:eastAsia="宋体" w:cs="宋体"/>
          <w:i w:val="0"/>
          <w:iCs w:val="0"/>
          <w:caps w:val="0"/>
          <w:color w:val="auto"/>
          <w:spacing w:val="0"/>
          <w:kern w:val="0"/>
          <w:sz w:val="24"/>
          <w:szCs w:val="24"/>
          <w:highlight w:val="none"/>
          <w:shd w:val="clear" w:fill="FFFFFF"/>
          <w:lang w:val="en-US" w:eastAsia="zh-CN" w:bidi="ar-SA"/>
        </w:rPr>
        <w:t xml:space="preserve">  监督电话：18351277636（陈先生）</w:t>
      </w:r>
    </w:p>
    <w:p w14:paraId="300DAF7E">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5A20"/>
    <w:rsid w:val="02C1433A"/>
    <w:rsid w:val="15A232B1"/>
    <w:rsid w:val="33FB733E"/>
    <w:rsid w:val="3FE221A6"/>
    <w:rsid w:val="42C46EA7"/>
    <w:rsid w:val="568441B8"/>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olor w:val="000000"/>
      <w:kern w:val="0"/>
      <w:sz w:val="24"/>
      <w:szCs w:val="24"/>
    </w:rPr>
  </w:style>
  <w:style w:type="paragraph" w:customStyle="1" w:styleId="5">
    <w:name w:val="UserStyle_2"/>
    <w:basedOn w:val="6"/>
    <w:next w:val="1"/>
    <w:autoRedefine/>
    <w:qFormat/>
    <w:uiPriority w:val="0"/>
    <w:pPr>
      <w:keepLines/>
      <w:tabs>
        <w:tab w:val="left" w:pos="420"/>
        <w:tab w:val="left" w:pos="720"/>
      </w:tabs>
      <w:spacing w:before="340" w:after="330" w:line="578" w:lineRule="auto"/>
      <w:ind w:left="0" w:firstLine="0"/>
    </w:pPr>
    <w:rPr>
      <w:rFonts w:ascii="Times New Roman"/>
      <w:b/>
      <w:bCs/>
      <w:kern w:val="44"/>
      <w:sz w:val="44"/>
      <w:szCs w:val="44"/>
    </w:rPr>
  </w:style>
  <w:style w:type="paragraph" w:customStyle="1" w:styleId="6">
    <w:name w:val="Heading1"/>
    <w:basedOn w:val="1"/>
    <w:next w:val="1"/>
    <w:autoRedefine/>
    <w:qFormat/>
    <w:uiPriority w:val="0"/>
    <w:pPr>
      <w:keepNext/>
      <w:tabs>
        <w:tab w:val="left" w:pos="420"/>
        <w:tab w:val="left" w:pos="720"/>
      </w:tabs>
      <w:spacing w:line="216" w:lineRule="auto"/>
      <w:ind w:left="720" w:hanging="720"/>
      <w:textAlignment w:val="baseline"/>
    </w:pPr>
    <w:rPr>
      <w:rFonts w:ascii="宋体" w:eastAsia="宋体"/>
    </w:rPr>
  </w:style>
  <w:style w:type="character" w:customStyle="1" w:styleId="7">
    <w:name w:val="NormalCharacter"/>
    <w:autoRedefine/>
    <w:semiHidden/>
    <w:qFormat/>
    <w:uiPriority w:val="0"/>
    <w:rPr>
      <w:rFonts w:ascii="Times New Roman" w:hAnsi="Times New Roman" w:eastAsia="仿宋_GB2312"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2025-04-25T10:30:19Z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2335BBA008994C8FA7802686613136EA</vt:lpwstr>
  </property>
  <property fmtid="{D5CDD505-2E9C-101B-9397-08002B2CF9AE}" pid="4" name="KSOTemplateDocerSaveRecord">
    <vt:lpwstr>eyJoZGlkIjoiNDU4YTRmNTQ4NWIzOWI4ZDUxNGU2MWViOTM2ODE2ODMiLCJ1c2VySWQiOiIxMTA1NTkxNzUzIn0=</vt:lpwstr>
  </property>
</Properties>
</file>