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17AF315">
      <w:pPr>
        <w:pStyle w:val="9"/>
        <w:widowControl/>
        <w:spacing w:line="480" w:lineRule="exact"/>
        <w:ind w:firstLine="480"/>
        <w:jc w:val="center"/>
        <w:rPr>
          <w:rFonts w:ascii="宋体" w:hAnsi="宋体" w:eastAsia="宋体" w:cs="宋体"/>
          <w:b/>
          <w:bCs/>
          <w:kern w:val="2"/>
          <w:sz w:val="36"/>
          <w:szCs w:val="36"/>
        </w:rPr>
      </w:pPr>
      <w:bookmarkStart w:id="0" w:name="OLE_LINK3"/>
      <w:bookmarkStart w:id="1" w:name="OLE_LINK1"/>
      <w:r>
        <w:rPr>
          <w:rFonts w:hint="eastAsia" w:ascii="宋体" w:hAnsi="宋体" w:eastAsia="宋体" w:cs="宋体"/>
          <w:b/>
          <w:bCs/>
          <w:kern w:val="2"/>
          <w:sz w:val="36"/>
          <w:szCs w:val="36"/>
          <w:lang w:eastAsia="zh-CN"/>
        </w:rPr>
        <w:t>市民开放空间展厅装修工程</w:t>
      </w:r>
      <w:r>
        <w:rPr>
          <w:rFonts w:hint="eastAsia" w:ascii="宋体" w:hAnsi="宋体" w:eastAsia="宋体" w:cs="宋体"/>
          <w:b/>
          <w:bCs/>
          <w:kern w:val="2"/>
          <w:sz w:val="36"/>
          <w:szCs w:val="36"/>
        </w:rPr>
        <w:t>招标公告</w:t>
      </w:r>
    </w:p>
    <w:p w14:paraId="2FE531BE">
      <w:pPr>
        <w:pStyle w:val="9"/>
        <w:widowControl/>
        <w:spacing w:line="480" w:lineRule="exact"/>
        <w:ind w:firstLine="480"/>
        <w:jc w:val="both"/>
        <w:rPr>
          <w:rFonts w:ascii="宋体" w:hAnsi="宋体" w:eastAsia="宋体" w:cs="宋体"/>
          <w:kern w:val="2"/>
          <w:sz w:val="21"/>
          <w:szCs w:val="21"/>
        </w:rPr>
      </w:pPr>
      <w:r>
        <w:rPr>
          <w:rFonts w:hint="eastAsia" w:ascii="宋体" w:hAnsi="宋体" w:eastAsia="宋体" w:cs="宋体"/>
          <w:kern w:val="2"/>
          <w:sz w:val="21"/>
          <w:szCs w:val="21"/>
        </w:rPr>
        <w:t>一、招标条件</w:t>
      </w:r>
    </w:p>
    <w:p w14:paraId="483E79F4">
      <w:pPr>
        <w:pStyle w:val="9"/>
        <w:widowControl/>
        <w:spacing w:line="480" w:lineRule="exact"/>
        <w:ind w:firstLine="480"/>
        <w:jc w:val="both"/>
        <w:rPr>
          <w:rFonts w:ascii="宋体" w:hAnsi="宋体" w:eastAsia="宋体" w:cs="宋体"/>
          <w:kern w:val="2"/>
          <w:sz w:val="21"/>
          <w:szCs w:val="21"/>
        </w:rPr>
      </w:pPr>
      <w:r>
        <w:rPr>
          <w:rFonts w:hint="eastAsia" w:ascii="宋体" w:hAnsi="宋体" w:eastAsia="宋体" w:cs="宋体"/>
          <w:kern w:val="2"/>
          <w:sz w:val="21"/>
          <w:szCs w:val="21"/>
          <w:lang w:eastAsia="zh-CN"/>
        </w:rPr>
        <w:t>市民开放空间展厅装修工程</w:t>
      </w:r>
      <w:r>
        <w:rPr>
          <w:rFonts w:hint="eastAsia" w:ascii="宋体" w:hAnsi="宋体" w:eastAsia="宋体" w:cs="宋体"/>
          <w:kern w:val="2"/>
          <w:sz w:val="21"/>
          <w:szCs w:val="21"/>
        </w:rPr>
        <w:t>已经批准建设，工程所需资金来源自筹并已落实。已具备招标条件，现对该项目进行公开招标。本次招标对投标人</w:t>
      </w:r>
      <w:bookmarkStart w:id="2" w:name="_GoBack"/>
      <w:bookmarkEnd w:id="2"/>
      <w:r>
        <w:rPr>
          <w:rFonts w:hint="eastAsia" w:ascii="宋体" w:hAnsi="宋体" w:eastAsia="宋体" w:cs="宋体"/>
          <w:kern w:val="2"/>
          <w:sz w:val="21"/>
          <w:szCs w:val="21"/>
        </w:rPr>
        <w:t>的资格审查，采用资格后审方法选择合格的投标申请人参加投标。</w:t>
      </w:r>
    </w:p>
    <w:p w14:paraId="2FBBFC07">
      <w:pPr>
        <w:pStyle w:val="9"/>
        <w:widowControl/>
        <w:spacing w:line="480" w:lineRule="exact"/>
        <w:ind w:firstLine="480"/>
        <w:jc w:val="both"/>
        <w:rPr>
          <w:rFonts w:ascii="宋体" w:hAnsi="宋体" w:eastAsia="宋体" w:cs="宋体"/>
          <w:kern w:val="2"/>
          <w:sz w:val="21"/>
          <w:szCs w:val="21"/>
        </w:rPr>
      </w:pPr>
      <w:r>
        <w:rPr>
          <w:rFonts w:hint="eastAsia" w:ascii="宋体" w:hAnsi="宋体" w:eastAsia="宋体" w:cs="宋体"/>
          <w:kern w:val="2"/>
          <w:sz w:val="21"/>
          <w:szCs w:val="21"/>
        </w:rPr>
        <w:t>二、项目概况</w:t>
      </w:r>
    </w:p>
    <w:p w14:paraId="499671EE">
      <w:pPr>
        <w:pStyle w:val="9"/>
        <w:widowControl/>
        <w:spacing w:line="480" w:lineRule="exact"/>
        <w:ind w:firstLine="480"/>
        <w:jc w:val="both"/>
        <w:rPr>
          <w:rFonts w:ascii="宋体" w:hAnsi="宋体" w:eastAsia="宋体" w:cs="宋体"/>
          <w:kern w:val="2"/>
          <w:sz w:val="21"/>
          <w:szCs w:val="21"/>
        </w:rPr>
      </w:pPr>
      <w:r>
        <w:rPr>
          <w:rFonts w:hint="eastAsia" w:ascii="宋体" w:hAnsi="宋体" w:eastAsia="宋体" w:cs="宋体"/>
          <w:kern w:val="2"/>
          <w:sz w:val="21"/>
          <w:szCs w:val="21"/>
        </w:rPr>
        <w:t>1、工程名称：</w:t>
      </w:r>
      <w:r>
        <w:rPr>
          <w:rFonts w:hint="eastAsia" w:ascii="宋体" w:hAnsi="宋体" w:eastAsia="宋体" w:cs="宋体"/>
          <w:kern w:val="2"/>
          <w:sz w:val="21"/>
          <w:szCs w:val="21"/>
          <w:lang w:eastAsia="zh-CN"/>
        </w:rPr>
        <w:t>市民开放空间展厅装修工程</w:t>
      </w:r>
      <w:r>
        <w:rPr>
          <w:rFonts w:hint="eastAsia" w:ascii="宋体" w:hAnsi="宋体" w:eastAsia="宋体" w:cs="宋体"/>
          <w:kern w:val="2"/>
          <w:sz w:val="21"/>
          <w:szCs w:val="21"/>
        </w:rPr>
        <w:t>。</w:t>
      </w:r>
    </w:p>
    <w:p w14:paraId="4E01D5AF">
      <w:pPr>
        <w:pStyle w:val="9"/>
        <w:widowControl/>
        <w:spacing w:line="480" w:lineRule="exact"/>
        <w:ind w:firstLine="480"/>
        <w:jc w:val="both"/>
        <w:rPr>
          <w:rFonts w:ascii="宋体" w:hAnsi="宋体" w:eastAsia="宋体" w:cs="宋体"/>
          <w:kern w:val="2"/>
          <w:sz w:val="21"/>
          <w:szCs w:val="21"/>
        </w:rPr>
      </w:pPr>
      <w:r>
        <w:rPr>
          <w:rFonts w:hint="eastAsia" w:ascii="宋体" w:hAnsi="宋体" w:eastAsia="宋体" w:cs="宋体"/>
          <w:kern w:val="2"/>
          <w:sz w:val="21"/>
          <w:szCs w:val="21"/>
        </w:rPr>
        <w:t>2、建设单位：</w:t>
      </w:r>
      <w:r>
        <w:rPr>
          <w:rFonts w:hint="eastAsia" w:ascii="宋体" w:hAnsi="宋体" w:eastAsia="宋体" w:cs="宋体"/>
          <w:kern w:val="2"/>
          <w:sz w:val="21"/>
          <w:szCs w:val="21"/>
          <w:lang w:eastAsia="zh-CN"/>
        </w:rPr>
        <w:t>盐城市大数据集团有限公司</w:t>
      </w:r>
      <w:r>
        <w:rPr>
          <w:rFonts w:hint="eastAsia" w:ascii="宋体" w:hAnsi="宋体" w:eastAsia="宋体" w:cs="宋体"/>
          <w:kern w:val="2"/>
          <w:sz w:val="21"/>
          <w:szCs w:val="21"/>
        </w:rPr>
        <w:t>。</w:t>
      </w:r>
    </w:p>
    <w:p w14:paraId="36072A2E">
      <w:pPr>
        <w:pStyle w:val="9"/>
        <w:widowControl/>
        <w:spacing w:line="480" w:lineRule="exact"/>
        <w:ind w:firstLine="480"/>
        <w:jc w:val="both"/>
        <w:rPr>
          <w:rFonts w:hint="eastAsia" w:ascii="宋体" w:hAnsi="宋体" w:eastAsia="宋体" w:cs="宋体"/>
          <w:kern w:val="2"/>
          <w:sz w:val="21"/>
          <w:szCs w:val="21"/>
          <w:lang w:eastAsia="zh-CN"/>
        </w:rPr>
      </w:pPr>
      <w:r>
        <w:rPr>
          <w:rFonts w:hint="eastAsia" w:ascii="宋体" w:hAnsi="宋体" w:eastAsia="宋体" w:cs="宋体"/>
          <w:kern w:val="2"/>
          <w:sz w:val="21"/>
          <w:szCs w:val="21"/>
          <w:lang w:eastAsia="zh-CN"/>
        </w:rPr>
        <w:t>3、工程地点：盐南高新区大数据产业园。</w:t>
      </w:r>
    </w:p>
    <w:p w14:paraId="14EA9D7D">
      <w:pPr>
        <w:pStyle w:val="9"/>
        <w:widowControl/>
        <w:spacing w:line="480" w:lineRule="exact"/>
        <w:ind w:firstLine="480"/>
        <w:jc w:val="both"/>
        <w:rPr>
          <w:rFonts w:hint="eastAsia" w:ascii="宋体" w:hAnsi="宋体" w:eastAsia="宋体" w:cs="宋体"/>
          <w:kern w:val="2"/>
          <w:sz w:val="21"/>
          <w:szCs w:val="21"/>
          <w:highlight w:val="none"/>
          <w:lang w:eastAsia="zh-CN"/>
        </w:rPr>
      </w:pPr>
      <w:r>
        <w:rPr>
          <w:rFonts w:hint="eastAsia" w:ascii="宋体" w:hAnsi="宋体" w:eastAsia="宋体" w:cs="宋体"/>
          <w:kern w:val="2"/>
          <w:sz w:val="21"/>
          <w:szCs w:val="21"/>
          <w:lang w:eastAsia="zh-CN"/>
        </w:rPr>
        <w:t>4、工程规模</w:t>
      </w:r>
      <w:r>
        <w:rPr>
          <w:rFonts w:hint="eastAsia" w:ascii="宋体" w:hAnsi="宋体" w:eastAsia="宋体" w:cs="宋体"/>
          <w:kern w:val="2"/>
          <w:sz w:val="21"/>
          <w:szCs w:val="21"/>
          <w:highlight w:val="none"/>
          <w:lang w:eastAsia="zh-CN"/>
        </w:rPr>
        <w:t>：工程造价约</w:t>
      </w:r>
      <w:r>
        <w:rPr>
          <w:rFonts w:hint="eastAsia" w:ascii="宋体" w:hAnsi="宋体" w:eastAsia="宋体" w:cs="宋体"/>
          <w:kern w:val="2"/>
          <w:sz w:val="21"/>
          <w:szCs w:val="21"/>
          <w:highlight w:val="none"/>
          <w:lang w:val="en-US" w:eastAsia="zh-CN"/>
        </w:rPr>
        <w:t>175</w:t>
      </w:r>
      <w:r>
        <w:rPr>
          <w:rFonts w:hint="eastAsia" w:ascii="宋体" w:hAnsi="宋体" w:eastAsia="宋体" w:cs="宋体"/>
          <w:kern w:val="2"/>
          <w:sz w:val="21"/>
          <w:szCs w:val="21"/>
          <w:highlight w:val="none"/>
          <w:lang w:eastAsia="zh-CN"/>
        </w:rPr>
        <w:t>万元。</w:t>
      </w:r>
    </w:p>
    <w:p w14:paraId="0E29BB2E">
      <w:pPr>
        <w:pStyle w:val="9"/>
        <w:widowControl/>
        <w:spacing w:line="480" w:lineRule="exact"/>
        <w:ind w:firstLine="480"/>
        <w:jc w:val="both"/>
        <w:rPr>
          <w:rFonts w:ascii="宋体" w:hAnsi="宋体" w:eastAsia="宋体" w:cs="宋体"/>
          <w:kern w:val="2"/>
          <w:sz w:val="21"/>
          <w:szCs w:val="21"/>
          <w:highlight w:val="none"/>
        </w:rPr>
      </w:pPr>
      <w:r>
        <w:rPr>
          <w:rFonts w:hint="eastAsia" w:ascii="宋体" w:hAnsi="宋体" w:eastAsia="宋体" w:cs="宋体"/>
          <w:kern w:val="2"/>
          <w:sz w:val="21"/>
          <w:szCs w:val="21"/>
          <w:highlight w:val="none"/>
        </w:rPr>
        <w:t>5、质量要求：合格标准。</w:t>
      </w:r>
    </w:p>
    <w:p w14:paraId="0CFAB19F">
      <w:pPr>
        <w:pStyle w:val="9"/>
        <w:widowControl/>
        <w:spacing w:line="480" w:lineRule="exact"/>
        <w:ind w:firstLine="480"/>
        <w:jc w:val="both"/>
        <w:rPr>
          <w:rFonts w:ascii="宋体" w:hAnsi="宋体" w:eastAsia="宋体" w:cs="宋体"/>
          <w:kern w:val="2"/>
          <w:sz w:val="21"/>
          <w:szCs w:val="21"/>
        </w:rPr>
      </w:pPr>
      <w:r>
        <w:rPr>
          <w:rFonts w:hint="eastAsia" w:ascii="宋体" w:hAnsi="宋体" w:eastAsia="宋体" w:cs="宋体"/>
          <w:kern w:val="2"/>
          <w:sz w:val="21"/>
          <w:szCs w:val="21"/>
        </w:rPr>
        <w:t>6、要求工期：30日历天，具体服从招标人建设要求。</w:t>
      </w:r>
    </w:p>
    <w:p w14:paraId="209455B1">
      <w:pPr>
        <w:pStyle w:val="9"/>
        <w:widowControl/>
        <w:spacing w:line="480" w:lineRule="exact"/>
        <w:ind w:firstLine="480"/>
        <w:rPr>
          <w:rFonts w:ascii="宋体" w:hAnsi="宋体" w:eastAsia="宋体" w:cs="宋体"/>
          <w:kern w:val="2"/>
          <w:sz w:val="21"/>
          <w:szCs w:val="21"/>
        </w:rPr>
      </w:pPr>
      <w:r>
        <w:rPr>
          <w:rFonts w:hint="eastAsia" w:ascii="宋体" w:hAnsi="宋体" w:eastAsia="宋体" w:cs="宋体"/>
          <w:kern w:val="2"/>
          <w:sz w:val="21"/>
          <w:szCs w:val="21"/>
        </w:rPr>
        <w:t>7、标段划分及招标范围：本招标工程为一个标段；主要内容包括（但不限于）：</w:t>
      </w:r>
      <w:r>
        <w:rPr>
          <w:rFonts w:hint="eastAsia" w:ascii="宋体" w:hAnsi="宋体" w:eastAsia="宋体" w:cs="宋体"/>
          <w:kern w:val="2"/>
          <w:sz w:val="21"/>
          <w:szCs w:val="21"/>
          <w:lang w:eastAsia="zh-CN"/>
        </w:rPr>
        <w:t>市民开放空间展厅装修工程</w:t>
      </w:r>
      <w:r>
        <w:rPr>
          <w:rFonts w:hint="eastAsia" w:ascii="宋体" w:hAnsi="宋体" w:eastAsia="宋体" w:cs="宋体"/>
          <w:kern w:val="2"/>
          <w:sz w:val="21"/>
          <w:szCs w:val="21"/>
        </w:rPr>
        <w:t>的施工</w:t>
      </w:r>
      <w:r>
        <w:rPr>
          <w:rFonts w:hint="eastAsia" w:ascii="宋体" w:hAnsi="宋体" w:eastAsia="宋体" w:cs="宋体"/>
          <w:kern w:val="2"/>
          <w:sz w:val="21"/>
          <w:szCs w:val="21"/>
          <w:lang w:eastAsia="zh-CN"/>
        </w:rPr>
        <w:t>（</w:t>
      </w:r>
      <w:r>
        <w:rPr>
          <w:rFonts w:hint="eastAsia" w:ascii="宋体" w:hAnsi="宋体" w:eastAsia="宋体" w:cs="宋体"/>
          <w:kern w:val="2"/>
          <w:sz w:val="21"/>
          <w:szCs w:val="21"/>
          <w:lang w:val="en-US" w:eastAsia="zh-CN"/>
        </w:rPr>
        <w:t>包含但不限于：智能化、水电、装饰、软装及家具等</w:t>
      </w:r>
      <w:r>
        <w:rPr>
          <w:rFonts w:hint="eastAsia" w:ascii="宋体" w:hAnsi="宋体" w:eastAsia="宋体" w:cs="宋体"/>
          <w:kern w:val="2"/>
          <w:sz w:val="21"/>
          <w:szCs w:val="21"/>
          <w:lang w:eastAsia="zh-CN"/>
        </w:rPr>
        <w:t>）</w:t>
      </w:r>
      <w:r>
        <w:rPr>
          <w:rFonts w:hint="eastAsia" w:ascii="宋体" w:hAnsi="宋体" w:eastAsia="宋体" w:cs="宋体"/>
          <w:kern w:val="2"/>
          <w:sz w:val="21"/>
          <w:szCs w:val="21"/>
        </w:rPr>
        <w:t>，具体以招标人提供的施工图纸和工程量清单为准。招标人保留对招标范围内工程量适当调整的权利。</w:t>
      </w:r>
    </w:p>
    <w:p w14:paraId="2B273BB5">
      <w:pPr>
        <w:pStyle w:val="9"/>
        <w:widowControl/>
        <w:spacing w:line="480" w:lineRule="exact"/>
        <w:ind w:firstLine="480"/>
        <w:rPr>
          <w:rFonts w:ascii="宋体" w:hAnsi="宋体" w:eastAsia="宋体" w:cs="宋体"/>
          <w:kern w:val="2"/>
          <w:sz w:val="21"/>
          <w:szCs w:val="21"/>
        </w:rPr>
      </w:pPr>
      <w:r>
        <w:rPr>
          <w:rFonts w:hint="eastAsia" w:ascii="宋体" w:hAnsi="宋体" w:eastAsia="宋体" w:cs="宋体"/>
          <w:kern w:val="2"/>
          <w:sz w:val="21"/>
          <w:szCs w:val="21"/>
        </w:rPr>
        <w:t>三、投标人应当具备的主要资格条件</w:t>
      </w:r>
    </w:p>
    <w:p w14:paraId="058BBACF">
      <w:pPr>
        <w:spacing w:line="360" w:lineRule="auto"/>
        <w:ind w:firstLine="420" w:firstLineChars="200"/>
        <w:contextualSpacing/>
        <w:rPr>
          <w:rFonts w:hint="eastAsia" w:ascii="宋体" w:hAnsi="宋体" w:eastAsia="宋体" w:cs="宋体"/>
          <w:kern w:val="2"/>
          <w:sz w:val="21"/>
          <w:szCs w:val="21"/>
          <w:lang w:val="en-US" w:eastAsia="zh-CN" w:bidi="ar-SA"/>
        </w:rPr>
      </w:pPr>
      <w:r>
        <w:rPr>
          <w:rFonts w:hint="eastAsia" w:ascii="宋体" w:hAnsi="宋体" w:eastAsia="宋体" w:cs="宋体"/>
          <w:kern w:val="0"/>
          <w:szCs w:val="21"/>
        </w:rPr>
        <w:t>1、投标人资质类别和等级：</w:t>
      </w:r>
      <w:r>
        <w:rPr>
          <w:rFonts w:hint="eastAsia" w:ascii="宋体" w:hAnsi="宋体" w:eastAsia="宋体" w:cs="宋体"/>
          <w:kern w:val="2"/>
          <w:sz w:val="21"/>
          <w:szCs w:val="21"/>
          <w:lang w:val="en-US" w:eastAsia="zh-CN" w:bidi="ar-SA"/>
        </w:rPr>
        <w:t>投标人须具有建设行政主管部门颁发的建筑工程施工总承包三级及以上资质的独立法人，并取得有效的企业安全生产许可证。</w:t>
      </w:r>
    </w:p>
    <w:p w14:paraId="1A01A1E1">
      <w:pPr>
        <w:pStyle w:val="9"/>
        <w:widowControl/>
        <w:spacing w:line="480" w:lineRule="exact"/>
        <w:ind w:firstLine="480"/>
        <w:jc w:val="both"/>
        <w:rPr>
          <w:rFonts w:ascii="宋体" w:hAnsi="宋体" w:eastAsia="宋体" w:cs="宋体"/>
          <w:kern w:val="2"/>
          <w:sz w:val="21"/>
          <w:szCs w:val="21"/>
        </w:rPr>
      </w:pPr>
      <w:r>
        <w:rPr>
          <w:rFonts w:hint="eastAsia" w:ascii="宋体" w:hAnsi="宋体" w:eastAsia="宋体" w:cs="宋体"/>
          <w:kern w:val="2"/>
          <w:sz w:val="21"/>
          <w:szCs w:val="21"/>
        </w:rPr>
        <w:t>2、项目负责人资质和要求：投标项目负责人必须是投标人本单位的正式职工，具有注册专业为建筑工程专业二级及以上建造师资格证书，同时具有《建筑施工企业项目负责人安全生产考核合格证》（B类），且无在建工程（如发生投诉或反映，被投诉人或被反映人须提供工程所在地建设行政主管部门出具的该项目经理无在建工程的书面证明）。</w:t>
      </w:r>
    </w:p>
    <w:p w14:paraId="3351E41F">
      <w:pPr>
        <w:pStyle w:val="9"/>
        <w:widowControl/>
        <w:spacing w:line="480" w:lineRule="exact"/>
        <w:ind w:firstLine="480"/>
        <w:jc w:val="both"/>
        <w:rPr>
          <w:rFonts w:ascii="宋体" w:hAnsi="宋体" w:eastAsia="宋体" w:cs="宋体"/>
          <w:kern w:val="2"/>
          <w:sz w:val="21"/>
          <w:szCs w:val="21"/>
        </w:rPr>
      </w:pPr>
      <w:r>
        <w:rPr>
          <w:rFonts w:hint="eastAsia" w:ascii="宋体" w:hAnsi="宋体" w:eastAsia="宋体" w:cs="宋体"/>
          <w:kern w:val="2"/>
          <w:sz w:val="21"/>
          <w:szCs w:val="21"/>
        </w:rPr>
        <w:t>3、本次招标不接受联合体投标。</w:t>
      </w:r>
    </w:p>
    <w:p w14:paraId="65B1FB44">
      <w:pPr>
        <w:pStyle w:val="9"/>
        <w:widowControl/>
        <w:spacing w:line="480" w:lineRule="exact"/>
        <w:ind w:firstLine="480"/>
        <w:jc w:val="both"/>
        <w:rPr>
          <w:rFonts w:ascii="宋体" w:hAnsi="宋体" w:eastAsia="宋体" w:cs="宋体"/>
          <w:kern w:val="2"/>
          <w:sz w:val="21"/>
          <w:szCs w:val="21"/>
        </w:rPr>
      </w:pPr>
      <w:r>
        <w:rPr>
          <w:rFonts w:hint="eastAsia" w:ascii="宋体" w:hAnsi="宋体" w:eastAsia="宋体" w:cs="宋体"/>
          <w:kern w:val="2"/>
          <w:sz w:val="21"/>
          <w:szCs w:val="21"/>
        </w:rPr>
        <w:t>4、其他要求：</w:t>
      </w:r>
    </w:p>
    <w:p w14:paraId="00623341">
      <w:pPr>
        <w:pStyle w:val="9"/>
        <w:widowControl/>
        <w:spacing w:line="480" w:lineRule="exact"/>
        <w:ind w:firstLine="480"/>
        <w:jc w:val="both"/>
        <w:rPr>
          <w:rFonts w:ascii="宋体" w:hAnsi="宋体" w:eastAsia="宋体" w:cs="宋体"/>
          <w:kern w:val="2"/>
          <w:sz w:val="21"/>
          <w:szCs w:val="21"/>
        </w:rPr>
      </w:pPr>
      <w:r>
        <w:rPr>
          <w:rFonts w:hint="eastAsia" w:ascii="宋体" w:hAnsi="宋体" w:eastAsia="宋体" w:cs="宋体"/>
          <w:kern w:val="2"/>
          <w:sz w:val="21"/>
          <w:szCs w:val="21"/>
        </w:rPr>
        <w:t>4.1财务要求：投标人应具有独立订立合同的能力，未处于财产被接管、冻结和破产状态。</w:t>
      </w:r>
    </w:p>
    <w:p w14:paraId="6488D73C">
      <w:pPr>
        <w:pStyle w:val="9"/>
        <w:widowControl/>
        <w:spacing w:line="480" w:lineRule="exact"/>
        <w:ind w:firstLine="480"/>
        <w:jc w:val="both"/>
        <w:rPr>
          <w:rFonts w:ascii="宋体" w:hAnsi="宋体" w:eastAsia="宋体" w:cs="宋体"/>
          <w:kern w:val="2"/>
          <w:sz w:val="21"/>
          <w:szCs w:val="21"/>
        </w:rPr>
      </w:pPr>
      <w:r>
        <w:rPr>
          <w:rFonts w:hint="eastAsia" w:ascii="宋体" w:hAnsi="宋体" w:eastAsia="宋体" w:cs="宋体"/>
          <w:kern w:val="2"/>
          <w:sz w:val="21"/>
          <w:szCs w:val="21"/>
        </w:rPr>
        <w:t xml:space="preserve">4.2业绩要求：无。       </w:t>
      </w:r>
    </w:p>
    <w:p w14:paraId="0C265555">
      <w:pPr>
        <w:pStyle w:val="9"/>
        <w:widowControl/>
        <w:spacing w:line="480" w:lineRule="exact"/>
        <w:ind w:firstLine="480"/>
        <w:jc w:val="both"/>
        <w:rPr>
          <w:rFonts w:ascii="宋体" w:hAnsi="宋体" w:eastAsia="宋体" w:cs="宋体"/>
          <w:kern w:val="2"/>
          <w:sz w:val="21"/>
          <w:szCs w:val="21"/>
        </w:rPr>
      </w:pPr>
      <w:r>
        <w:rPr>
          <w:rFonts w:hint="eastAsia" w:ascii="宋体" w:hAnsi="宋体" w:eastAsia="宋体" w:cs="宋体"/>
          <w:kern w:val="2"/>
          <w:sz w:val="21"/>
          <w:szCs w:val="21"/>
        </w:rPr>
        <w:t>4.3信誉要求：</w:t>
      </w:r>
    </w:p>
    <w:p w14:paraId="1D2E4AE0">
      <w:pPr>
        <w:pStyle w:val="9"/>
        <w:widowControl/>
        <w:spacing w:line="480" w:lineRule="exact"/>
        <w:ind w:firstLine="480"/>
        <w:jc w:val="both"/>
        <w:rPr>
          <w:rFonts w:ascii="宋体" w:hAnsi="宋体" w:eastAsia="宋体" w:cs="宋体"/>
          <w:kern w:val="2"/>
          <w:sz w:val="21"/>
          <w:szCs w:val="21"/>
        </w:rPr>
      </w:pPr>
      <w:r>
        <w:rPr>
          <w:rFonts w:hint="eastAsia" w:ascii="宋体" w:hAnsi="宋体" w:eastAsia="宋体" w:cs="宋体"/>
          <w:kern w:val="2"/>
          <w:sz w:val="21"/>
          <w:szCs w:val="21"/>
        </w:rPr>
        <w:t>4.3.1被国家、江苏本省省级有关部门及盐城本市市级、盐南高新区有关部门暂停招投标或市场准入资格且在公示处罚期内的。</w:t>
      </w:r>
    </w:p>
    <w:p w14:paraId="5528653D">
      <w:pPr>
        <w:pStyle w:val="9"/>
        <w:widowControl/>
        <w:spacing w:line="480" w:lineRule="exact"/>
        <w:ind w:firstLine="480"/>
        <w:jc w:val="both"/>
        <w:rPr>
          <w:rFonts w:ascii="宋体" w:hAnsi="宋体" w:eastAsia="宋体" w:cs="宋体"/>
          <w:kern w:val="2"/>
          <w:sz w:val="21"/>
          <w:szCs w:val="21"/>
        </w:rPr>
      </w:pPr>
      <w:r>
        <w:rPr>
          <w:rFonts w:hint="eastAsia" w:ascii="宋体" w:hAnsi="宋体" w:eastAsia="宋体" w:cs="宋体"/>
          <w:kern w:val="2"/>
          <w:sz w:val="21"/>
          <w:szCs w:val="21"/>
        </w:rPr>
        <w:t>4.3.2近3年内有行贿犯罪行为且被记录，或者法定代表人、项目负责人有行贿犯罪记录且自记录之日起未超过5年的。（均自记录之日起至投标截止日止）</w:t>
      </w:r>
    </w:p>
    <w:p w14:paraId="04404230">
      <w:pPr>
        <w:pStyle w:val="9"/>
        <w:widowControl/>
        <w:spacing w:line="480" w:lineRule="exact"/>
        <w:ind w:firstLine="480"/>
        <w:jc w:val="both"/>
        <w:rPr>
          <w:rFonts w:ascii="宋体" w:hAnsi="宋体" w:eastAsia="宋体" w:cs="宋体"/>
          <w:kern w:val="2"/>
          <w:sz w:val="21"/>
          <w:szCs w:val="21"/>
        </w:rPr>
      </w:pPr>
      <w:r>
        <w:rPr>
          <w:rFonts w:hint="eastAsia" w:ascii="宋体" w:hAnsi="宋体" w:eastAsia="宋体" w:cs="宋体"/>
          <w:kern w:val="2"/>
          <w:sz w:val="21"/>
          <w:szCs w:val="21"/>
        </w:rPr>
        <w:t xml:space="preserve">4.3.3被人民法院列为失信被执行人的信息正在被“信用中国”、“信用江苏”网站公布的，投标截止时间前失信被执行人信息已撤销或更正的除外。 </w:t>
      </w:r>
    </w:p>
    <w:p w14:paraId="3653352A">
      <w:pPr>
        <w:pStyle w:val="9"/>
        <w:widowControl/>
        <w:spacing w:line="480" w:lineRule="exact"/>
        <w:ind w:firstLine="480"/>
        <w:jc w:val="both"/>
        <w:rPr>
          <w:rFonts w:ascii="宋体" w:hAnsi="宋体" w:eastAsia="宋体" w:cs="宋体"/>
          <w:kern w:val="2"/>
          <w:sz w:val="21"/>
          <w:szCs w:val="21"/>
        </w:rPr>
      </w:pPr>
      <w:r>
        <w:rPr>
          <w:rFonts w:hint="eastAsia" w:ascii="宋体" w:hAnsi="宋体" w:eastAsia="宋体" w:cs="宋体"/>
          <w:kern w:val="2"/>
          <w:sz w:val="21"/>
          <w:szCs w:val="21"/>
        </w:rPr>
        <w:t>4.3.4投标人作为失信联合惩戒对象被采取依法限制参与建设工程招投标惩戒措施的，且被有关部门推送在“信用中国”、“信用江苏”、“信用盐城”相关网站公示且在有效期内的。</w:t>
      </w:r>
    </w:p>
    <w:p w14:paraId="749187F2">
      <w:pPr>
        <w:pStyle w:val="9"/>
        <w:widowControl/>
        <w:spacing w:line="480" w:lineRule="exact"/>
        <w:ind w:firstLine="480"/>
        <w:jc w:val="both"/>
        <w:rPr>
          <w:rFonts w:ascii="宋体" w:hAnsi="宋体" w:eastAsia="宋体" w:cs="宋体"/>
          <w:kern w:val="2"/>
          <w:sz w:val="21"/>
          <w:szCs w:val="21"/>
        </w:rPr>
      </w:pPr>
      <w:r>
        <w:rPr>
          <w:rFonts w:hint="eastAsia" w:ascii="宋体" w:hAnsi="宋体" w:eastAsia="宋体" w:cs="宋体"/>
          <w:kern w:val="2"/>
          <w:sz w:val="21"/>
          <w:szCs w:val="21"/>
        </w:rPr>
        <w:t>凡存在以上情形之一的，本项目招标人拒绝其投标，一经发现资格审查不予通过，不得被确定为中标候选人、中标人。在一次招投标活动中，相关参与人因上述情形，导致其资格预审不通过或者被取消中标候选人资格、中标人资格的，不因其之后情况的变化，改变已经作出的决定。</w:t>
      </w:r>
    </w:p>
    <w:p w14:paraId="0D0FB610">
      <w:pPr>
        <w:pStyle w:val="9"/>
        <w:widowControl/>
        <w:spacing w:line="480" w:lineRule="exact"/>
        <w:ind w:firstLine="480"/>
        <w:jc w:val="both"/>
        <w:rPr>
          <w:rFonts w:hint="eastAsia" w:ascii="宋体" w:hAnsi="宋体" w:eastAsia="宋体" w:cs="宋体"/>
          <w:kern w:val="2"/>
          <w:sz w:val="21"/>
          <w:szCs w:val="21"/>
        </w:rPr>
      </w:pPr>
      <w:r>
        <w:rPr>
          <w:rFonts w:hint="eastAsia" w:ascii="宋体" w:hAnsi="宋体" w:eastAsia="宋体" w:cs="宋体"/>
          <w:kern w:val="2"/>
          <w:sz w:val="21"/>
          <w:szCs w:val="21"/>
        </w:rPr>
        <w:t>4.4项目负责人从本工程投标文件递交截止之日起必须满足下列条件：</w:t>
      </w:r>
    </w:p>
    <w:p w14:paraId="4A0A779D">
      <w:pPr>
        <w:pStyle w:val="9"/>
        <w:widowControl/>
        <w:spacing w:line="480" w:lineRule="exact"/>
        <w:ind w:firstLine="480"/>
        <w:jc w:val="both"/>
        <w:rPr>
          <w:rFonts w:ascii="宋体" w:hAnsi="宋体" w:eastAsia="宋体" w:cs="宋体"/>
          <w:kern w:val="2"/>
          <w:sz w:val="21"/>
          <w:szCs w:val="21"/>
        </w:rPr>
      </w:pPr>
      <w:r>
        <w:rPr>
          <w:rFonts w:hint="eastAsia" w:ascii="宋体" w:hAnsi="宋体" w:eastAsia="宋体" w:cs="宋体"/>
          <w:kern w:val="2"/>
          <w:sz w:val="21"/>
          <w:szCs w:val="21"/>
        </w:rPr>
        <w:t>项目负责人不得同时在两个或者两个以上单位受聘或者执业。</w:t>
      </w:r>
    </w:p>
    <w:p w14:paraId="13FDD30D">
      <w:pPr>
        <w:pStyle w:val="9"/>
        <w:widowControl/>
        <w:spacing w:line="480" w:lineRule="exact"/>
        <w:ind w:firstLine="480"/>
        <w:jc w:val="both"/>
        <w:rPr>
          <w:rFonts w:ascii="宋体" w:hAnsi="宋体" w:eastAsia="宋体" w:cs="宋体"/>
          <w:szCs w:val="21"/>
        </w:rPr>
      </w:pPr>
      <w:r>
        <w:rPr>
          <w:rFonts w:hint="eastAsia" w:ascii="宋体" w:hAnsi="宋体" w:eastAsia="宋体" w:cs="宋体"/>
          <w:kern w:val="2"/>
          <w:sz w:val="21"/>
          <w:szCs w:val="21"/>
        </w:rPr>
        <w:t>4.4.1</w:t>
      </w:r>
      <w:r>
        <w:rPr>
          <w:rFonts w:ascii="宋体" w:hAnsi="宋体" w:eastAsia="宋体" w:cs="宋体"/>
          <w:szCs w:val="21"/>
        </w:rPr>
        <w:t xml:space="preserve"> </w:t>
      </w:r>
      <w:r>
        <w:rPr>
          <w:rFonts w:hint="eastAsia" w:ascii="宋体" w:hAnsi="宋体" w:eastAsia="宋体" w:cs="宋体"/>
          <w:kern w:val="2"/>
          <w:sz w:val="21"/>
          <w:szCs w:val="21"/>
        </w:rPr>
        <w:t>项目负责人是非变更后无在建工程，或项目负责人是变更后无在建工程（必须原合同工期已满且变更备案之日已满 6 个月），或因非承包方原因致使工程项目停工或因故不能按期开工、且已办理了项目负责人解锁手续，或项目负责人有在建工程，但该在建工程与本次招标的工程属于同一工程项目、同一项目批文、同一施工地点分段发包或分期施工的情况且总的工程规模在项目负责人执业范围之内。</w:t>
      </w:r>
    </w:p>
    <w:p w14:paraId="0A843985">
      <w:pPr>
        <w:widowControl/>
        <w:spacing w:line="440" w:lineRule="exact"/>
        <w:ind w:firstLine="630" w:firstLineChars="300"/>
        <w:jc w:val="left"/>
      </w:pPr>
      <w:r>
        <w:rPr>
          <w:rFonts w:hint="eastAsia" w:ascii="宋体" w:hAnsi="宋体" w:eastAsia="宋体" w:cs="宋体"/>
          <w:szCs w:val="21"/>
        </w:rPr>
        <w:t>在建工程：</w:t>
      </w:r>
      <w:r>
        <w:t>处于中标结果公告（直接发包的项目以网上合同备案</w:t>
      </w:r>
      <w:r>
        <w:rPr>
          <w:rFonts w:hint="eastAsia"/>
        </w:rPr>
        <w:t>或归集</w:t>
      </w:r>
      <w:r>
        <w:t>为准）到合同约定的工程全部完成且竣工验收合格期间的工程。竣工验收证明是指由建设单位（或监理）组织工程建设各方验收合格， 并签署相应的单位工程质量竣工验收记录或者分部工程质量验 收记录等验收文件。</w:t>
      </w:r>
    </w:p>
    <w:p w14:paraId="0F57460F">
      <w:pPr>
        <w:widowControl/>
        <w:spacing w:line="440" w:lineRule="exact"/>
        <w:ind w:firstLine="413" w:firstLineChars="196"/>
        <w:jc w:val="left"/>
      </w:pPr>
      <w:r>
        <w:rPr>
          <w:rFonts w:hint="eastAsia"/>
          <w:b/>
        </w:rPr>
        <w:t>本项目招标文件项目负责人有在养护期内的绿化养护、市政养护项目的，</w:t>
      </w:r>
      <w:r>
        <w:rPr>
          <w:b/>
        </w:rPr>
        <w:t>不属于招标公告及文件规定的有在建工程</w:t>
      </w:r>
      <w:r>
        <w:rPr>
          <w:rFonts w:hint="eastAsia"/>
          <w:b/>
        </w:rPr>
        <w:t>。绿化养护、市政养护工程招标，对项目负责人是否有在建工程不作要求。</w:t>
      </w:r>
    </w:p>
    <w:p w14:paraId="7DD1D9BE">
      <w:pPr>
        <w:pStyle w:val="9"/>
        <w:widowControl/>
        <w:spacing w:line="480" w:lineRule="exact"/>
        <w:ind w:firstLine="480"/>
        <w:jc w:val="both"/>
        <w:rPr>
          <w:rFonts w:asciiTheme="minorHAnsi" w:hAnsiTheme="minorHAnsi" w:eastAsiaTheme="minorEastAsia" w:cstheme="minorBidi"/>
          <w:kern w:val="2"/>
          <w:sz w:val="21"/>
          <w:szCs w:val="24"/>
          <w:lang w:val="en-US" w:eastAsia="zh-CN" w:bidi="ar-SA"/>
        </w:rPr>
      </w:pPr>
      <w:r>
        <w:rPr>
          <w:rFonts w:hint="eastAsia" w:asciiTheme="minorHAnsi" w:hAnsiTheme="minorHAnsi" w:eastAsiaTheme="minorEastAsia" w:cstheme="minorBidi"/>
          <w:kern w:val="2"/>
          <w:sz w:val="21"/>
          <w:szCs w:val="24"/>
          <w:lang w:val="en-US" w:eastAsia="zh-CN" w:bidi="ar-SA"/>
        </w:rPr>
        <w:t>4.5.标申请人授权委托人及投标承诺的项目部人员均为本单位的正式职工，投标时提供项目负责人从2024年3月开始至投标截止之日当月至少1个月在本单位缴纳养老保险缴费记录证明。（退休人员提供在本单位相关证明。）除项目负责人的其他项目部人员及授权委托人投标时无需提供缴费记录证明，中标候选人公示前、异议（投诉）提出时相关单位需提供缴费记录证明原件给招标人核验</w:t>
      </w:r>
      <w:r>
        <w:rPr>
          <w:rFonts w:hint="eastAsia" w:cstheme="minorBidi"/>
          <w:kern w:val="2"/>
          <w:sz w:val="21"/>
          <w:szCs w:val="24"/>
          <w:lang w:val="en-US" w:eastAsia="zh-CN" w:bidi="ar-SA"/>
        </w:rPr>
        <w:t>。</w:t>
      </w:r>
    </w:p>
    <w:p w14:paraId="203AF185">
      <w:pPr>
        <w:pStyle w:val="9"/>
        <w:widowControl/>
        <w:spacing w:line="480" w:lineRule="exact"/>
        <w:ind w:firstLine="480"/>
        <w:jc w:val="both"/>
        <w:rPr>
          <w:rFonts w:ascii="宋体" w:hAnsi="宋体" w:eastAsia="宋体" w:cs="宋体"/>
          <w:kern w:val="2"/>
          <w:sz w:val="21"/>
          <w:szCs w:val="21"/>
        </w:rPr>
      </w:pPr>
      <w:r>
        <w:rPr>
          <w:rFonts w:hint="eastAsia" w:ascii="宋体" w:hAnsi="宋体" w:eastAsia="宋体" w:cs="宋体"/>
          <w:kern w:val="2"/>
          <w:sz w:val="21"/>
          <w:szCs w:val="21"/>
        </w:rPr>
        <w:t>四、招标文件的领取</w:t>
      </w:r>
    </w:p>
    <w:p w14:paraId="52814C0F">
      <w:pPr>
        <w:pStyle w:val="9"/>
        <w:widowControl/>
        <w:spacing w:line="480" w:lineRule="exact"/>
        <w:ind w:firstLine="480"/>
        <w:jc w:val="both"/>
        <w:rPr>
          <w:rFonts w:hint="eastAsia" w:cstheme="minorBidi"/>
          <w:kern w:val="2"/>
          <w:sz w:val="21"/>
          <w:szCs w:val="24"/>
          <w:lang w:val="en-US" w:eastAsia="zh-CN" w:bidi="ar-SA"/>
        </w:rPr>
      </w:pPr>
      <w:r>
        <w:rPr>
          <w:rFonts w:hint="eastAsia" w:cstheme="minorBidi"/>
          <w:kern w:val="2"/>
          <w:sz w:val="21"/>
          <w:szCs w:val="24"/>
          <w:lang w:val="en-US" w:eastAsia="zh-CN" w:bidi="ar-SA"/>
        </w:rPr>
        <w:t>1、本招标公告发布后凡具备上述主要资格条件，并自愿参加本项目投标的申请人</w:t>
      </w:r>
      <w:r>
        <w:rPr>
          <w:rFonts w:hint="eastAsia" w:cstheme="minorBidi"/>
          <w:kern w:val="2"/>
          <w:sz w:val="21"/>
          <w:szCs w:val="24"/>
          <w:highlight w:val="none"/>
          <w:lang w:val="en-US" w:eastAsia="zh-CN" w:bidi="ar-SA"/>
        </w:rPr>
        <w:t>于</w:t>
      </w:r>
      <w:r>
        <w:rPr>
          <w:rFonts w:hint="eastAsia" w:cstheme="minorBidi"/>
          <w:b/>
          <w:bCs/>
          <w:kern w:val="2"/>
          <w:sz w:val="21"/>
          <w:szCs w:val="24"/>
          <w:highlight w:val="none"/>
          <w:lang w:val="en-US" w:eastAsia="zh-CN" w:bidi="ar-SA"/>
        </w:rPr>
        <w:t>2024年7月22日至2024年7月26日18时</w:t>
      </w:r>
      <w:r>
        <w:rPr>
          <w:rFonts w:hint="eastAsia" w:cstheme="minorBidi"/>
          <w:kern w:val="2"/>
          <w:sz w:val="21"/>
          <w:szCs w:val="24"/>
          <w:highlight w:val="none"/>
          <w:lang w:val="en-US" w:eastAsia="zh-CN" w:bidi="ar-SA"/>
        </w:rPr>
        <w:t>前，携带单位介绍信或授权委托书至江苏仁禾中衡工程咨</w:t>
      </w:r>
      <w:r>
        <w:rPr>
          <w:rFonts w:hint="eastAsia" w:cstheme="minorBidi"/>
          <w:kern w:val="2"/>
          <w:sz w:val="21"/>
          <w:szCs w:val="24"/>
          <w:lang w:val="en-US" w:eastAsia="zh-CN" w:bidi="ar-SA"/>
        </w:rPr>
        <w:t>询房地产估价有限公司（盐城市人民南路国际创投中心南四楼3A06室）报名购买招标文件。</w:t>
      </w:r>
    </w:p>
    <w:p w14:paraId="048E18AE">
      <w:pPr>
        <w:pStyle w:val="9"/>
        <w:widowControl/>
        <w:spacing w:line="480" w:lineRule="exact"/>
        <w:ind w:firstLine="480"/>
        <w:jc w:val="both"/>
        <w:rPr>
          <w:rFonts w:hint="default" w:cstheme="minorBidi"/>
          <w:kern w:val="2"/>
          <w:sz w:val="21"/>
          <w:szCs w:val="24"/>
          <w:lang w:val="en-US" w:eastAsia="zh-CN" w:bidi="ar-SA"/>
        </w:rPr>
      </w:pPr>
      <w:r>
        <w:rPr>
          <w:rFonts w:hint="eastAsia" w:cstheme="minorBidi"/>
          <w:kern w:val="2"/>
          <w:sz w:val="21"/>
          <w:szCs w:val="24"/>
          <w:lang w:val="en-US" w:eastAsia="zh-CN" w:bidi="ar-SA"/>
        </w:rPr>
        <w:t>2、投标文件的递交截止时间（开标时间）：</w:t>
      </w:r>
      <w:r>
        <w:rPr>
          <w:rFonts w:hint="eastAsia" w:cstheme="minorBidi"/>
          <w:b/>
          <w:bCs/>
          <w:kern w:val="2"/>
          <w:sz w:val="21"/>
          <w:szCs w:val="24"/>
          <w:lang w:val="en-US" w:eastAsia="zh-CN" w:bidi="ar-SA"/>
        </w:rPr>
        <w:t>2024年7月27日15：00时</w:t>
      </w:r>
      <w:r>
        <w:rPr>
          <w:rFonts w:hint="eastAsia" w:cstheme="minorBidi"/>
          <w:kern w:val="2"/>
          <w:sz w:val="21"/>
          <w:szCs w:val="24"/>
          <w:lang w:val="en-US" w:eastAsia="zh-CN" w:bidi="ar-SA"/>
        </w:rPr>
        <w:t>。</w:t>
      </w:r>
    </w:p>
    <w:p w14:paraId="15A9D2CC">
      <w:pPr>
        <w:pStyle w:val="9"/>
        <w:widowControl/>
        <w:spacing w:line="480" w:lineRule="exact"/>
        <w:ind w:firstLine="480"/>
        <w:jc w:val="both"/>
        <w:rPr>
          <w:rFonts w:ascii="宋体" w:hAnsi="宋体" w:eastAsia="宋体" w:cs="宋体"/>
          <w:kern w:val="2"/>
          <w:sz w:val="21"/>
          <w:szCs w:val="21"/>
        </w:rPr>
      </w:pPr>
      <w:r>
        <w:rPr>
          <w:rFonts w:hint="eastAsia" w:ascii="宋体" w:hAnsi="宋体" w:eastAsia="宋体" w:cs="宋体"/>
          <w:kern w:val="2"/>
          <w:sz w:val="21"/>
          <w:szCs w:val="21"/>
        </w:rPr>
        <w:t>五、投标保证金的缴纳与退还</w:t>
      </w:r>
    </w:p>
    <w:p w14:paraId="18D39A4D">
      <w:pPr>
        <w:pStyle w:val="9"/>
        <w:widowControl/>
        <w:spacing w:line="480" w:lineRule="exact"/>
        <w:ind w:firstLine="480"/>
        <w:jc w:val="both"/>
        <w:rPr>
          <w:rFonts w:ascii="宋体" w:hAnsi="宋体" w:eastAsia="宋体" w:cs="宋体"/>
          <w:kern w:val="2"/>
          <w:sz w:val="21"/>
          <w:szCs w:val="21"/>
        </w:rPr>
      </w:pPr>
      <w:r>
        <w:rPr>
          <w:rFonts w:hint="eastAsia" w:ascii="宋体" w:hAnsi="宋体" w:eastAsia="宋体" w:cs="宋体"/>
          <w:kern w:val="2"/>
          <w:sz w:val="21"/>
          <w:szCs w:val="21"/>
        </w:rPr>
        <w:t>5.1投标人在递交投标文件的同时，应按规定的金额、形式递交投标保证金，并作为其投标文件的组成部分。联合体投标的，其投标保证金有牵头人递交，并应符合有关规定。</w:t>
      </w:r>
    </w:p>
    <w:p w14:paraId="2E793E00">
      <w:pPr>
        <w:pStyle w:val="9"/>
        <w:widowControl/>
        <w:spacing w:line="480" w:lineRule="exact"/>
        <w:ind w:firstLine="480"/>
        <w:jc w:val="both"/>
        <w:rPr>
          <w:rFonts w:ascii="宋体" w:hAnsi="宋体" w:eastAsia="宋体" w:cs="宋体"/>
          <w:kern w:val="2"/>
          <w:sz w:val="21"/>
          <w:szCs w:val="21"/>
        </w:rPr>
      </w:pPr>
      <w:r>
        <w:rPr>
          <w:rFonts w:hint="eastAsia" w:ascii="宋体" w:hAnsi="宋体" w:eastAsia="宋体" w:cs="宋体"/>
          <w:kern w:val="2"/>
          <w:sz w:val="21"/>
          <w:szCs w:val="21"/>
        </w:rPr>
        <w:t>5.2本工程投标保证金数额：</w:t>
      </w:r>
      <w:r>
        <w:rPr>
          <w:rFonts w:hint="eastAsia" w:ascii="宋体" w:hAnsi="宋体" w:eastAsia="宋体" w:cs="宋体"/>
          <w:b/>
          <w:bCs/>
          <w:kern w:val="2"/>
          <w:sz w:val="21"/>
          <w:szCs w:val="21"/>
          <w:u w:val="single"/>
          <w:lang w:val="en-US" w:eastAsia="zh-CN"/>
        </w:rPr>
        <w:t>3</w:t>
      </w:r>
      <w:r>
        <w:rPr>
          <w:rFonts w:hint="eastAsia" w:ascii="宋体" w:hAnsi="宋体" w:eastAsia="宋体" w:cs="宋体"/>
          <w:b/>
          <w:bCs/>
          <w:kern w:val="2"/>
          <w:sz w:val="21"/>
          <w:szCs w:val="21"/>
          <w:u w:val="single"/>
        </w:rPr>
        <w:t>万元</w:t>
      </w:r>
      <w:r>
        <w:rPr>
          <w:rFonts w:hint="eastAsia" w:ascii="宋体" w:hAnsi="宋体" w:eastAsia="宋体" w:cs="宋体"/>
          <w:kern w:val="2"/>
          <w:sz w:val="21"/>
          <w:szCs w:val="21"/>
        </w:rPr>
        <w:t>。投标人须在本工程开标前办理投标保证金缴纳手续，投标保证金有效期与投标有效期一致。各投标人必须以企业法人基本存款账户办理保证金缴纳手续，否则不予接受。</w:t>
      </w:r>
    </w:p>
    <w:p w14:paraId="790B577C">
      <w:pPr>
        <w:pStyle w:val="9"/>
        <w:widowControl/>
        <w:spacing w:line="480" w:lineRule="exact"/>
        <w:ind w:firstLine="480"/>
        <w:jc w:val="both"/>
        <w:rPr>
          <w:rFonts w:ascii="宋体" w:hAnsi="宋体" w:eastAsia="宋体" w:cs="宋体"/>
          <w:kern w:val="2"/>
          <w:sz w:val="21"/>
          <w:szCs w:val="21"/>
        </w:rPr>
      </w:pPr>
      <w:r>
        <w:rPr>
          <w:rFonts w:hint="eastAsia" w:ascii="宋体" w:hAnsi="宋体" w:eastAsia="宋体" w:cs="宋体"/>
          <w:kern w:val="2"/>
          <w:sz w:val="21"/>
          <w:szCs w:val="21"/>
        </w:rPr>
        <w:t>5.2.1投标保证金可采用现金、电子保函（保单）形式，投标人根据企业实际情况合理选择投标保证金的缴纳形式，不同缴纳形式具有同等法律效力。具体缴纳方式为：</w:t>
      </w:r>
    </w:p>
    <w:p w14:paraId="2165EAC0">
      <w:pPr>
        <w:pStyle w:val="9"/>
        <w:widowControl/>
        <w:spacing w:line="480" w:lineRule="exact"/>
        <w:ind w:firstLine="480"/>
        <w:jc w:val="both"/>
        <w:rPr>
          <w:rFonts w:ascii="宋体" w:hAnsi="宋体" w:eastAsia="宋体" w:cs="宋体"/>
          <w:kern w:val="2"/>
          <w:sz w:val="21"/>
          <w:szCs w:val="21"/>
        </w:rPr>
      </w:pPr>
      <w:r>
        <w:rPr>
          <w:rFonts w:hint="eastAsia" w:ascii="宋体" w:hAnsi="宋体" w:eastAsia="宋体" w:cs="宋体"/>
          <w:kern w:val="2"/>
          <w:sz w:val="21"/>
          <w:szCs w:val="21"/>
        </w:rPr>
        <w:t>5.2.1.1</w:t>
      </w:r>
      <w:r>
        <w:rPr>
          <w:rFonts w:hint="eastAsia" w:ascii="宋体" w:hAnsi="宋体" w:eastAsia="宋体" w:cs="宋体"/>
          <w:kern w:val="2"/>
          <w:sz w:val="21"/>
          <w:szCs w:val="21"/>
          <w:lang w:val="en-US" w:eastAsia="zh-CN"/>
        </w:rPr>
        <w:t>现</w:t>
      </w:r>
      <w:r>
        <w:rPr>
          <w:rFonts w:hint="eastAsia" w:ascii="宋体" w:hAnsi="宋体" w:eastAsia="宋体" w:cs="宋体"/>
          <w:color w:val="000000"/>
          <w:sz w:val="21"/>
          <w:szCs w:val="21"/>
        </w:rPr>
        <w:t>金缴纳方式：采用转账、银行汇票、本票等形式。投标人须在投标截止时间前将投标保证金从投标人本单位的基本账户上汇出（以投标人汇出资金的银行日期为准，且保证金汇出单位必须与投标人名称一致）。收款人</w:t>
      </w:r>
      <w:r>
        <w:rPr>
          <w:rFonts w:hint="eastAsia" w:ascii="宋体" w:hAnsi="宋体" w:eastAsia="宋体" w:cs="宋体"/>
          <w:color w:val="000000"/>
          <w:sz w:val="21"/>
          <w:szCs w:val="21"/>
          <w:lang w:val="en-US" w:eastAsia="zh-CN"/>
        </w:rPr>
        <w:t>名称</w:t>
      </w:r>
      <w:r>
        <w:rPr>
          <w:rFonts w:hint="eastAsia" w:ascii="宋体" w:hAnsi="宋体" w:eastAsia="宋体" w:cs="宋体"/>
          <w:color w:val="000000"/>
          <w:sz w:val="21"/>
          <w:szCs w:val="21"/>
        </w:rPr>
        <w:t>：盐城市大数据集团有限公司，开户行：兴业银行盐城分行，开户行账号：402010100100050711。投标截止时间之前，各投标人将加盖投标单位公章的转账截图（转账须备注项目名称）或银行汇票或银行本票原件及加盖投标单位公章的基本户开户许可证带至开标现场交工作人员核验。未按招标文件约定要求缴纳投标保证金，其投标文件不予接收。</w:t>
      </w:r>
    </w:p>
    <w:p w14:paraId="087FAD32">
      <w:pPr>
        <w:pStyle w:val="9"/>
        <w:widowControl/>
        <w:spacing w:line="480" w:lineRule="exact"/>
        <w:ind w:firstLine="480"/>
        <w:jc w:val="both"/>
        <w:rPr>
          <w:rFonts w:ascii="宋体" w:hAnsi="宋体" w:eastAsia="宋体" w:cs="宋体"/>
          <w:kern w:val="2"/>
          <w:sz w:val="21"/>
          <w:szCs w:val="21"/>
        </w:rPr>
      </w:pPr>
      <w:r>
        <w:rPr>
          <w:rFonts w:hint="eastAsia" w:ascii="宋体" w:hAnsi="宋体" w:eastAsia="宋体" w:cs="宋体"/>
          <w:kern w:val="2"/>
          <w:sz w:val="21"/>
          <w:szCs w:val="21"/>
        </w:rPr>
        <w:t>5.2.1.2</w:t>
      </w:r>
      <w:r>
        <w:rPr>
          <w:rFonts w:hint="eastAsia" w:ascii="宋体" w:hAnsi="宋体" w:eastAsia="宋体" w:cs="宋体"/>
          <w:color w:val="000000"/>
          <w:sz w:val="21"/>
          <w:szCs w:val="21"/>
        </w:rPr>
        <w:t>采用银行保函缴纳：投标人须在投标截止时间前将投标人基本账户开户行出具的银行保函原件带至开标现场交工作人员核验。</w:t>
      </w:r>
    </w:p>
    <w:p w14:paraId="7BAC850A">
      <w:pPr>
        <w:pStyle w:val="9"/>
        <w:widowControl/>
        <w:spacing w:line="480" w:lineRule="exact"/>
        <w:ind w:firstLine="480"/>
        <w:jc w:val="both"/>
        <w:rPr>
          <w:rFonts w:ascii="宋体" w:hAnsi="宋体" w:eastAsia="宋体" w:cs="宋体"/>
          <w:kern w:val="2"/>
          <w:sz w:val="21"/>
          <w:szCs w:val="21"/>
        </w:rPr>
      </w:pPr>
      <w:r>
        <w:rPr>
          <w:rFonts w:hint="eastAsia" w:ascii="宋体" w:hAnsi="宋体" w:eastAsia="宋体" w:cs="宋体"/>
          <w:kern w:val="2"/>
          <w:sz w:val="21"/>
          <w:szCs w:val="21"/>
        </w:rPr>
        <w:t>5.2.1.3对信用服务机构依据《江苏省企业信用评价指引（试行）》（苏信用办〔2021 ] 17号）评定为 AA 级及以上的投标人免交投标保证金，投标时需提供经市发展改革委（市信用办）备案的第三方信用报告原件彩色扫描件，且信用报告概述页等内容通过“信用盐城网”可查证。</w:t>
      </w:r>
    </w:p>
    <w:p w14:paraId="03C9D77E">
      <w:pPr>
        <w:spacing w:line="520" w:lineRule="exact"/>
        <w:ind w:firstLine="420" w:firstLineChars="200"/>
        <w:rPr>
          <w:rFonts w:ascii="宋体" w:hAnsi="宋体" w:eastAsia="宋体" w:cs="宋体"/>
          <w:szCs w:val="21"/>
        </w:rPr>
      </w:pPr>
      <w:r>
        <w:rPr>
          <w:rFonts w:hint="eastAsia" w:ascii="宋体" w:hAnsi="宋体" w:eastAsia="宋体" w:cs="宋体"/>
          <w:szCs w:val="21"/>
        </w:rPr>
        <w:t>5.2.1.4</w:t>
      </w:r>
      <w:r>
        <w:rPr>
          <w:rFonts w:ascii="宋体" w:hAnsi="宋体" w:eastAsia="宋体" w:cs="宋体"/>
          <w:szCs w:val="21"/>
        </w:rPr>
        <w:t>信用承诺替代投标保证金。</w:t>
      </w:r>
      <w:r>
        <w:rPr>
          <w:rFonts w:hint="eastAsia" w:ascii="宋体" w:hAnsi="宋体" w:eastAsia="宋体" w:cs="宋体"/>
          <w:szCs w:val="21"/>
        </w:rPr>
        <w:t>本工程接受投标人以“投标保证金信用承诺函”方式替代投标保证金，投标保证金信用承诺函作为投标文件组成部分一并提交招标人，除法定例外情况，在有效期内(提交投标文件截止时间后到招标文件规定投标有效期终止前)不得撤销撤回(投标保证金信用承诺函参照附件A)。</w:t>
      </w:r>
    </w:p>
    <w:p w14:paraId="166EB5B3">
      <w:pPr>
        <w:spacing w:line="520" w:lineRule="exact"/>
        <w:ind w:firstLine="420" w:firstLineChars="200"/>
        <w:rPr>
          <w:rFonts w:ascii="宋体" w:hAnsi="宋体" w:eastAsia="宋体" w:cs="宋体"/>
          <w:szCs w:val="21"/>
        </w:rPr>
      </w:pPr>
      <w:r>
        <w:rPr>
          <w:rFonts w:hint="eastAsia" w:ascii="宋体" w:hAnsi="宋体" w:eastAsia="宋体" w:cs="宋体"/>
          <w:szCs w:val="21"/>
        </w:rPr>
        <w:t>采用投标保证金信用承诺替代投标保证金的投标人需信用良好，其中以联合体形式投标并采用信用承诺函替代投标保证金的，联合体各成员均须出具投标保证金信用承诺函。</w:t>
      </w:r>
    </w:p>
    <w:p w14:paraId="20BD5EA9">
      <w:pPr>
        <w:spacing w:line="520" w:lineRule="exact"/>
        <w:ind w:firstLine="420" w:firstLineChars="200"/>
        <w:rPr>
          <w:rFonts w:ascii="宋体" w:hAnsi="宋体" w:eastAsia="宋体" w:cs="宋体"/>
          <w:szCs w:val="21"/>
        </w:rPr>
      </w:pPr>
      <w:r>
        <w:rPr>
          <w:rFonts w:hint="eastAsia" w:ascii="宋体" w:hAnsi="宋体" w:eastAsia="宋体" w:cs="宋体"/>
          <w:szCs w:val="21"/>
        </w:rPr>
        <w:t>在我市公共资源交易领域存在履约不良行为，并在被记录有效期内的投标人，自动丧失在全市工程建设项目招投标中使用“投标保证金信用承诺函”资格，全市工程建设项目招标人均可拒绝接受其使用“投标保证金信用承诺函”。</w:t>
      </w:r>
    </w:p>
    <w:p w14:paraId="07589CC5">
      <w:pPr>
        <w:spacing w:line="520" w:lineRule="exact"/>
        <w:ind w:firstLine="420" w:firstLineChars="200"/>
        <w:rPr>
          <w:rFonts w:ascii="宋体" w:hAnsi="宋体" w:eastAsia="宋体" w:cs="宋体"/>
          <w:szCs w:val="21"/>
        </w:rPr>
      </w:pPr>
      <w:r>
        <w:rPr>
          <w:rFonts w:hint="eastAsia" w:ascii="宋体" w:hAnsi="宋体" w:eastAsia="宋体" w:cs="宋体"/>
          <w:szCs w:val="21"/>
        </w:rPr>
        <w:t xml:space="preserve">采用信用承诺替代投标保证金的，不免除投标人违法、违规、违约责任的义务。 </w:t>
      </w:r>
    </w:p>
    <w:p w14:paraId="2C9FC6ED">
      <w:pPr>
        <w:spacing w:line="520" w:lineRule="exact"/>
        <w:ind w:firstLine="422" w:firstLineChars="200"/>
        <w:rPr>
          <w:rFonts w:ascii="宋体" w:hAnsi="宋体" w:eastAsia="宋体" w:cs="宋体"/>
          <w:b/>
          <w:bCs/>
          <w:szCs w:val="21"/>
        </w:rPr>
      </w:pPr>
      <w:r>
        <w:rPr>
          <w:rFonts w:hint="eastAsia" w:ascii="宋体" w:hAnsi="宋体" w:eastAsia="宋体" w:cs="宋体"/>
          <w:b/>
          <w:bCs/>
          <w:szCs w:val="21"/>
        </w:rPr>
        <w:t>未按上述要求交纳投标保证金的，经评标委员会认定后，其投标文件为无效投标文件。</w:t>
      </w:r>
    </w:p>
    <w:p w14:paraId="7BEA6018">
      <w:pPr>
        <w:pStyle w:val="9"/>
        <w:widowControl/>
        <w:spacing w:line="480" w:lineRule="exact"/>
        <w:ind w:firstLine="480"/>
        <w:jc w:val="both"/>
        <w:rPr>
          <w:rFonts w:ascii="宋体" w:hAnsi="宋体" w:eastAsia="宋体" w:cs="宋体"/>
          <w:kern w:val="2"/>
          <w:sz w:val="21"/>
          <w:szCs w:val="21"/>
        </w:rPr>
      </w:pPr>
      <w:r>
        <w:rPr>
          <w:rFonts w:hint="eastAsia" w:ascii="宋体" w:hAnsi="宋体" w:eastAsia="宋体" w:cs="宋体"/>
          <w:kern w:val="2"/>
          <w:sz w:val="21"/>
          <w:szCs w:val="21"/>
        </w:rPr>
        <w:t>5.3投标保证金的退还</w:t>
      </w:r>
    </w:p>
    <w:p w14:paraId="7D3B0293">
      <w:pPr>
        <w:pStyle w:val="9"/>
        <w:widowControl/>
        <w:spacing w:line="480" w:lineRule="exact"/>
        <w:ind w:firstLine="480"/>
        <w:jc w:val="both"/>
        <w:rPr>
          <w:rFonts w:ascii="宋体" w:hAnsi="宋体" w:eastAsia="宋体" w:cs="宋体"/>
          <w:kern w:val="2"/>
          <w:sz w:val="21"/>
          <w:szCs w:val="21"/>
        </w:rPr>
      </w:pPr>
      <w:r>
        <w:rPr>
          <w:rFonts w:hint="eastAsia" w:ascii="宋体" w:hAnsi="宋体" w:eastAsia="宋体" w:cs="宋体"/>
          <w:kern w:val="2"/>
          <w:sz w:val="21"/>
          <w:szCs w:val="21"/>
        </w:rPr>
        <w:t>5.3.1有投诉(异议)的项目，所有投标人投标保证金一律暂不退还。</w:t>
      </w:r>
    </w:p>
    <w:p w14:paraId="63BD8DD8">
      <w:pPr>
        <w:pStyle w:val="9"/>
        <w:widowControl/>
        <w:spacing w:line="480" w:lineRule="exact"/>
        <w:ind w:firstLine="480"/>
        <w:jc w:val="both"/>
        <w:rPr>
          <w:rFonts w:ascii="宋体" w:hAnsi="宋体" w:eastAsia="宋体" w:cs="宋体"/>
          <w:kern w:val="2"/>
          <w:sz w:val="21"/>
          <w:szCs w:val="21"/>
        </w:rPr>
      </w:pPr>
      <w:r>
        <w:rPr>
          <w:rFonts w:hint="eastAsia" w:ascii="宋体" w:hAnsi="宋体" w:eastAsia="宋体" w:cs="宋体"/>
          <w:kern w:val="2"/>
          <w:sz w:val="21"/>
          <w:szCs w:val="21"/>
        </w:rPr>
        <w:t>因恶意投诉（异议）的、利用保密信息投诉的及投诉（异议）不实的投诉行为被通报的，自通报之日起6个月内，投诉（异议）人所有投标项目的投标保证金在招标项目签订合同后予以退还。</w:t>
      </w:r>
    </w:p>
    <w:p w14:paraId="062D2174">
      <w:pPr>
        <w:pStyle w:val="9"/>
        <w:widowControl/>
        <w:spacing w:line="480" w:lineRule="exact"/>
        <w:ind w:firstLine="480"/>
        <w:jc w:val="both"/>
        <w:rPr>
          <w:rFonts w:ascii="宋体" w:hAnsi="宋体" w:eastAsia="宋体" w:cs="宋体"/>
          <w:kern w:val="2"/>
          <w:sz w:val="21"/>
          <w:szCs w:val="21"/>
        </w:rPr>
      </w:pPr>
      <w:r>
        <w:rPr>
          <w:rFonts w:hint="eastAsia" w:ascii="宋体" w:hAnsi="宋体" w:eastAsia="宋体" w:cs="宋体"/>
          <w:kern w:val="2"/>
          <w:sz w:val="21"/>
          <w:szCs w:val="21"/>
        </w:rPr>
        <w:t>投诉人故意捏造事实、伪造证明材料或者以非法手段取得证明材料进行投诉的给他人造成的损失的，投诉人依法承担赔偿责任。招标人直接扣减相应数额，确认应予退还保证金的数额，并经监管机关存档后，办理退款手续。</w:t>
      </w:r>
    </w:p>
    <w:p w14:paraId="47E161DF">
      <w:pPr>
        <w:pStyle w:val="9"/>
        <w:widowControl/>
        <w:spacing w:line="480" w:lineRule="exact"/>
        <w:ind w:firstLine="480"/>
        <w:jc w:val="both"/>
        <w:rPr>
          <w:rFonts w:ascii="宋体" w:hAnsi="宋体" w:eastAsia="宋体" w:cs="宋体"/>
          <w:kern w:val="2"/>
          <w:sz w:val="21"/>
          <w:szCs w:val="21"/>
        </w:rPr>
      </w:pPr>
      <w:r>
        <w:rPr>
          <w:rFonts w:hint="eastAsia" w:ascii="宋体" w:hAnsi="宋体" w:eastAsia="宋体" w:cs="宋体"/>
          <w:kern w:val="2"/>
          <w:sz w:val="21"/>
          <w:szCs w:val="21"/>
        </w:rPr>
        <w:t>5.3.2保证金退还时间：</w:t>
      </w:r>
    </w:p>
    <w:p w14:paraId="4A3C1590">
      <w:pPr>
        <w:spacing w:line="500" w:lineRule="exact"/>
        <w:ind w:firstLine="420" w:firstLineChars="200"/>
        <w:contextualSpacing/>
        <w:rPr>
          <w:rFonts w:ascii="宋体" w:hAnsi="宋体" w:eastAsia="宋体" w:cs="宋体"/>
          <w:szCs w:val="21"/>
        </w:rPr>
      </w:pPr>
      <w:r>
        <w:rPr>
          <w:rFonts w:hint="eastAsia" w:ascii="宋体" w:hAnsi="宋体" w:eastAsia="宋体" w:cs="宋体"/>
          <w:szCs w:val="21"/>
        </w:rPr>
        <w:t>如无投诉等特殊情况，中标结果公示期满后7个工作日内，退还非中标人的投标保证金。中标人投标保证金在履约保证金缴纳后退还。</w:t>
      </w:r>
      <w:r>
        <w:rPr>
          <w:rFonts w:hint="eastAsia" w:ascii="宋体" w:hAnsi="宋体" w:eastAsia="宋体" w:cs="宋体"/>
          <w:szCs w:val="21"/>
        </w:rPr>
        <w:br w:type="textWrapping"/>
      </w:r>
      <w:r>
        <w:rPr>
          <w:rFonts w:hint="eastAsia" w:ascii="宋体" w:hAnsi="宋体" w:eastAsia="宋体" w:cs="宋体"/>
          <w:szCs w:val="21"/>
        </w:rPr>
        <w:t xml:space="preserve">  备注：以现金形式缴纳的投标保证金，向中标人和未中标的投标人退还投标保证金时同时退还银行同期存款利息。以保函（保单）形式缴纳的保证金按相关协议执行，无需办理退款手续。</w:t>
      </w:r>
    </w:p>
    <w:p w14:paraId="20CB5F7B">
      <w:pPr>
        <w:pStyle w:val="9"/>
        <w:widowControl/>
        <w:spacing w:line="480" w:lineRule="exact"/>
        <w:ind w:firstLine="480"/>
        <w:jc w:val="both"/>
        <w:rPr>
          <w:rFonts w:ascii="宋体" w:hAnsi="宋体" w:eastAsia="宋体" w:cs="宋体"/>
          <w:kern w:val="2"/>
          <w:sz w:val="21"/>
          <w:szCs w:val="21"/>
        </w:rPr>
      </w:pPr>
      <w:r>
        <w:rPr>
          <w:rFonts w:hint="eastAsia" w:ascii="宋体" w:hAnsi="宋体" w:eastAsia="宋体" w:cs="宋体"/>
          <w:kern w:val="2"/>
          <w:sz w:val="21"/>
          <w:szCs w:val="21"/>
        </w:rPr>
        <w:t>5.3.3有下列情形之一的，投标保证金将不予退还：</w:t>
      </w:r>
    </w:p>
    <w:p w14:paraId="6F20F2D1">
      <w:pPr>
        <w:pStyle w:val="9"/>
        <w:widowControl/>
        <w:spacing w:line="480" w:lineRule="exact"/>
        <w:ind w:firstLine="480"/>
        <w:jc w:val="both"/>
        <w:rPr>
          <w:rFonts w:ascii="宋体" w:hAnsi="宋体" w:eastAsia="宋体" w:cs="宋体"/>
          <w:kern w:val="2"/>
          <w:sz w:val="21"/>
          <w:szCs w:val="21"/>
        </w:rPr>
      </w:pPr>
      <w:r>
        <w:rPr>
          <w:rFonts w:hint="eastAsia" w:ascii="宋体" w:hAnsi="宋体" w:eastAsia="宋体" w:cs="宋体"/>
          <w:kern w:val="2"/>
          <w:sz w:val="21"/>
          <w:szCs w:val="21"/>
        </w:rPr>
        <w:t>①投标人在规定的投标有效期内撤销或修改其投标文件的；</w:t>
      </w:r>
    </w:p>
    <w:p w14:paraId="16D264B1">
      <w:pPr>
        <w:pStyle w:val="9"/>
        <w:widowControl/>
        <w:spacing w:line="480" w:lineRule="exact"/>
        <w:ind w:firstLine="480"/>
        <w:jc w:val="both"/>
        <w:rPr>
          <w:rFonts w:ascii="宋体" w:hAnsi="宋体" w:eastAsia="宋体" w:cs="宋体"/>
          <w:kern w:val="2"/>
          <w:sz w:val="21"/>
          <w:szCs w:val="21"/>
        </w:rPr>
      </w:pPr>
      <w:r>
        <w:rPr>
          <w:rFonts w:hint="eastAsia" w:ascii="宋体" w:hAnsi="宋体" w:eastAsia="宋体" w:cs="宋体"/>
          <w:kern w:val="2"/>
          <w:sz w:val="21"/>
          <w:szCs w:val="21"/>
        </w:rPr>
        <w:t>②中标人无正当理由拒绝签订合同；</w:t>
      </w:r>
    </w:p>
    <w:p w14:paraId="134143DB">
      <w:pPr>
        <w:pStyle w:val="9"/>
        <w:widowControl/>
        <w:spacing w:line="480" w:lineRule="exact"/>
        <w:ind w:firstLine="480"/>
        <w:jc w:val="both"/>
        <w:rPr>
          <w:rFonts w:ascii="宋体" w:hAnsi="宋体" w:eastAsia="宋体" w:cs="宋体"/>
          <w:kern w:val="2"/>
          <w:sz w:val="21"/>
          <w:szCs w:val="21"/>
        </w:rPr>
      </w:pPr>
      <w:r>
        <w:rPr>
          <w:rFonts w:hint="eastAsia" w:ascii="宋体" w:hAnsi="宋体" w:eastAsia="宋体" w:cs="宋体"/>
          <w:kern w:val="2"/>
          <w:sz w:val="21"/>
          <w:szCs w:val="21"/>
        </w:rPr>
        <w:t>③中标人弄虚作假骗取中标，其他投标虚假、恶意投诉或反映，干扰招投标活动的；</w:t>
      </w:r>
    </w:p>
    <w:p w14:paraId="1B30A8C9">
      <w:pPr>
        <w:pStyle w:val="9"/>
        <w:widowControl/>
        <w:spacing w:line="480" w:lineRule="exact"/>
        <w:ind w:firstLine="480"/>
        <w:jc w:val="both"/>
        <w:rPr>
          <w:rFonts w:ascii="宋体" w:hAnsi="宋体" w:eastAsia="宋体" w:cs="宋体"/>
          <w:kern w:val="2"/>
          <w:sz w:val="21"/>
          <w:szCs w:val="21"/>
        </w:rPr>
      </w:pPr>
      <w:r>
        <w:rPr>
          <w:rFonts w:hint="eastAsia" w:ascii="宋体" w:hAnsi="宋体" w:eastAsia="宋体" w:cs="宋体"/>
          <w:kern w:val="2"/>
          <w:sz w:val="21"/>
          <w:szCs w:val="21"/>
        </w:rPr>
        <w:t>④中标项目经理被反映或投诉有在建工程，投标人及项目经理业绩为虚假业绩，并经查属实的。</w:t>
      </w:r>
    </w:p>
    <w:p w14:paraId="5308F5AA">
      <w:pPr>
        <w:pStyle w:val="9"/>
        <w:widowControl/>
        <w:spacing w:line="480" w:lineRule="exact"/>
        <w:ind w:firstLine="480"/>
        <w:jc w:val="both"/>
        <w:rPr>
          <w:rFonts w:ascii="宋体" w:hAnsi="宋体" w:eastAsia="宋体" w:cs="宋体"/>
          <w:kern w:val="2"/>
          <w:sz w:val="21"/>
          <w:szCs w:val="21"/>
        </w:rPr>
      </w:pPr>
      <w:r>
        <w:rPr>
          <w:rFonts w:hint="eastAsia" w:ascii="宋体" w:hAnsi="宋体" w:eastAsia="宋体" w:cs="宋体"/>
          <w:kern w:val="2"/>
          <w:sz w:val="21"/>
          <w:szCs w:val="21"/>
        </w:rPr>
        <w:t>⑤招标人保留对中标人实地考察的权利，如在实地考察过程中发现中标人投标时提供的相关材料、证明、业绩等与实地考察结果不符，存在弄虚作假情况的，将取消其中标资格，并不予退还其投标保证金，同时已完工程量不予结算。</w:t>
      </w:r>
    </w:p>
    <w:p w14:paraId="4799F94F">
      <w:pPr>
        <w:pStyle w:val="9"/>
        <w:widowControl/>
        <w:spacing w:line="480" w:lineRule="exact"/>
        <w:ind w:firstLine="480"/>
        <w:jc w:val="both"/>
        <w:rPr>
          <w:rFonts w:ascii="宋体" w:hAnsi="宋体" w:eastAsia="宋体" w:cs="宋体"/>
          <w:kern w:val="2"/>
          <w:sz w:val="21"/>
          <w:szCs w:val="21"/>
        </w:rPr>
      </w:pPr>
      <w:r>
        <w:rPr>
          <w:rFonts w:hint="eastAsia" w:ascii="宋体" w:hAnsi="宋体" w:eastAsia="宋体" w:cs="宋体"/>
          <w:kern w:val="2"/>
          <w:sz w:val="21"/>
          <w:szCs w:val="21"/>
        </w:rPr>
        <w:t>六、本项目评标、定标办法采用“</w:t>
      </w:r>
      <w:r>
        <w:rPr>
          <w:rFonts w:hint="eastAsia" w:ascii="宋体" w:hAnsi="宋体" w:eastAsia="宋体" w:cs="宋体"/>
          <w:kern w:val="2"/>
          <w:sz w:val="21"/>
          <w:szCs w:val="21"/>
          <w:lang w:val="en-US" w:eastAsia="zh-CN"/>
        </w:rPr>
        <w:t>综合评估</w:t>
      </w:r>
      <w:r>
        <w:rPr>
          <w:rFonts w:hint="eastAsia" w:ascii="宋体" w:hAnsi="宋体" w:eastAsia="宋体" w:cs="宋体"/>
          <w:kern w:val="2"/>
          <w:sz w:val="21"/>
          <w:szCs w:val="21"/>
        </w:rPr>
        <w:t>法”，具体内容详见招标文件。</w:t>
      </w:r>
    </w:p>
    <w:p w14:paraId="7BFB6926">
      <w:pPr>
        <w:pStyle w:val="9"/>
        <w:widowControl/>
        <w:spacing w:line="480" w:lineRule="exact"/>
        <w:ind w:firstLine="480"/>
        <w:jc w:val="both"/>
        <w:rPr>
          <w:rFonts w:ascii="宋体" w:hAnsi="宋体" w:eastAsia="宋体" w:cs="宋体"/>
          <w:kern w:val="2"/>
          <w:sz w:val="21"/>
          <w:szCs w:val="21"/>
        </w:rPr>
      </w:pPr>
      <w:r>
        <w:rPr>
          <w:rFonts w:hint="eastAsia" w:ascii="宋体" w:hAnsi="宋体" w:eastAsia="宋体" w:cs="宋体"/>
          <w:kern w:val="2"/>
          <w:sz w:val="21"/>
          <w:szCs w:val="21"/>
        </w:rPr>
        <w:t>七、投标单位在诚信库中录入的所有信息均应真实有效，并应及时更新、完善，如未能及时更新和完善，其责任自行承担。投标单位录入虚假信息的，经查实作为失信（不良行为）行为在江苏省建设工程招标网、江苏省盐南高新区公共资源交易电子化服务平台上公告一年，在公告期间，本区内其它项目的招标人可以据此不接受其投标。</w:t>
      </w:r>
    </w:p>
    <w:p w14:paraId="6A221AC0">
      <w:pPr>
        <w:pStyle w:val="9"/>
        <w:widowControl/>
        <w:spacing w:line="480" w:lineRule="exact"/>
        <w:ind w:firstLine="480"/>
        <w:jc w:val="both"/>
        <w:rPr>
          <w:rFonts w:ascii="宋体" w:hAnsi="宋体" w:eastAsia="宋体" w:cs="宋体"/>
          <w:kern w:val="2"/>
          <w:sz w:val="21"/>
          <w:szCs w:val="21"/>
        </w:rPr>
      </w:pPr>
      <w:r>
        <w:rPr>
          <w:rFonts w:hint="eastAsia" w:ascii="宋体" w:hAnsi="宋体" w:eastAsia="宋体" w:cs="宋体"/>
          <w:kern w:val="2"/>
          <w:sz w:val="21"/>
          <w:szCs w:val="21"/>
        </w:rPr>
        <w:t>八、本工程严禁挂靠、转包，一经核实挂靠、转包的，将被取消投标、中标资格，并按相关规定进行处罚，直至建议有关部门吊销资质证书。</w:t>
      </w:r>
    </w:p>
    <w:p w14:paraId="5CFB4761">
      <w:pPr>
        <w:pStyle w:val="9"/>
        <w:widowControl/>
        <w:spacing w:line="480" w:lineRule="exact"/>
        <w:ind w:firstLine="480"/>
        <w:jc w:val="both"/>
        <w:rPr>
          <w:rFonts w:ascii="宋体" w:hAnsi="宋体" w:eastAsia="宋体" w:cs="宋体"/>
          <w:kern w:val="2"/>
          <w:sz w:val="21"/>
          <w:szCs w:val="21"/>
        </w:rPr>
      </w:pPr>
      <w:r>
        <w:rPr>
          <w:rFonts w:hint="eastAsia" w:ascii="宋体" w:hAnsi="宋体" w:eastAsia="宋体" w:cs="宋体"/>
          <w:kern w:val="2"/>
          <w:sz w:val="21"/>
          <w:szCs w:val="21"/>
        </w:rPr>
        <w:t>九、联系方式</w:t>
      </w:r>
    </w:p>
    <w:p w14:paraId="5D9BD9DE">
      <w:pPr>
        <w:pStyle w:val="9"/>
        <w:widowControl/>
        <w:spacing w:line="480" w:lineRule="exact"/>
        <w:ind w:firstLine="480"/>
        <w:jc w:val="both"/>
        <w:rPr>
          <w:rFonts w:hint="eastAsia" w:ascii="宋体" w:hAnsi="宋体" w:eastAsia="宋体" w:cs="宋体"/>
          <w:kern w:val="2"/>
          <w:sz w:val="21"/>
          <w:szCs w:val="21"/>
          <w:lang w:eastAsia="zh-CN"/>
        </w:rPr>
      </w:pPr>
      <w:r>
        <w:rPr>
          <w:rFonts w:hint="eastAsia" w:ascii="宋体" w:hAnsi="宋体" w:eastAsia="宋体" w:cs="宋体"/>
          <w:kern w:val="2"/>
          <w:sz w:val="21"/>
          <w:szCs w:val="21"/>
        </w:rPr>
        <w:t>招标人：</w:t>
      </w:r>
      <w:r>
        <w:rPr>
          <w:rFonts w:hint="eastAsia" w:ascii="宋体" w:hAnsi="宋体" w:eastAsia="宋体" w:cs="宋体"/>
          <w:kern w:val="2"/>
          <w:sz w:val="21"/>
          <w:szCs w:val="21"/>
          <w:lang w:eastAsia="zh-CN"/>
        </w:rPr>
        <w:t>盐城市大数据集团有限公司</w:t>
      </w:r>
    </w:p>
    <w:p w14:paraId="76E4EE3C">
      <w:pPr>
        <w:pStyle w:val="9"/>
        <w:widowControl/>
        <w:spacing w:line="480" w:lineRule="exact"/>
        <w:ind w:firstLine="480"/>
        <w:jc w:val="both"/>
        <w:rPr>
          <w:rFonts w:ascii="宋体" w:hAnsi="宋体" w:eastAsia="宋体" w:cs="宋体"/>
          <w:kern w:val="2"/>
          <w:sz w:val="21"/>
          <w:szCs w:val="21"/>
        </w:rPr>
      </w:pPr>
      <w:r>
        <w:rPr>
          <w:rFonts w:hint="eastAsia" w:ascii="宋体" w:hAnsi="宋体" w:eastAsia="宋体" w:cs="宋体"/>
          <w:kern w:val="2"/>
          <w:sz w:val="21"/>
          <w:szCs w:val="21"/>
        </w:rPr>
        <w:t>联系人：</w:t>
      </w:r>
      <w:r>
        <w:rPr>
          <w:rFonts w:hint="eastAsia" w:ascii="宋体" w:hAnsi="宋体" w:eastAsia="宋体" w:cs="宋体"/>
          <w:kern w:val="2"/>
          <w:sz w:val="21"/>
          <w:szCs w:val="21"/>
          <w:lang w:val="en-US" w:eastAsia="zh-CN"/>
        </w:rPr>
        <w:t>刘</w:t>
      </w:r>
      <w:r>
        <w:rPr>
          <w:rFonts w:hint="eastAsia" w:ascii="宋体" w:hAnsi="宋体" w:eastAsia="宋体" w:cs="宋体"/>
          <w:kern w:val="2"/>
          <w:sz w:val="21"/>
          <w:szCs w:val="21"/>
        </w:rPr>
        <w:t>主任</w:t>
      </w:r>
    </w:p>
    <w:p w14:paraId="4CB92A11">
      <w:pPr>
        <w:pStyle w:val="9"/>
        <w:widowControl/>
        <w:spacing w:line="480" w:lineRule="exact"/>
        <w:ind w:firstLine="480"/>
        <w:jc w:val="both"/>
        <w:rPr>
          <w:rFonts w:hint="default" w:ascii="宋体" w:hAnsi="宋体" w:eastAsia="宋体" w:cs="宋体"/>
          <w:kern w:val="2"/>
          <w:sz w:val="21"/>
          <w:szCs w:val="21"/>
          <w:lang w:val="en-US" w:eastAsia="zh-CN"/>
        </w:rPr>
      </w:pPr>
      <w:r>
        <w:rPr>
          <w:rFonts w:hint="eastAsia" w:ascii="宋体" w:hAnsi="宋体" w:eastAsia="宋体" w:cs="宋体"/>
          <w:kern w:val="2"/>
          <w:sz w:val="21"/>
          <w:szCs w:val="21"/>
        </w:rPr>
        <w:t>联系电话：</w:t>
      </w:r>
      <w:r>
        <w:rPr>
          <w:rFonts w:hint="eastAsia" w:ascii="宋体" w:hAnsi="宋体" w:eastAsia="宋体" w:cs="宋体"/>
          <w:kern w:val="2"/>
          <w:sz w:val="21"/>
          <w:szCs w:val="21"/>
          <w:lang w:val="en-US" w:eastAsia="zh-CN"/>
        </w:rPr>
        <w:t>18068876608</w:t>
      </w:r>
    </w:p>
    <w:p w14:paraId="77B0E37F">
      <w:pPr>
        <w:pStyle w:val="9"/>
        <w:widowControl/>
        <w:spacing w:line="480" w:lineRule="exact"/>
        <w:ind w:firstLine="480"/>
        <w:jc w:val="both"/>
        <w:rPr>
          <w:rFonts w:ascii="宋体" w:hAnsi="宋体" w:eastAsia="宋体" w:cs="宋体"/>
          <w:kern w:val="2"/>
          <w:sz w:val="21"/>
          <w:szCs w:val="21"/>
        </w:rPr>
      </w:pPr>
      <w:r>
        <w:rPr>
          <w:rFonts w:hint="eastAsia" w:ascii="宋体" w:hAnsi="宋体" w:eastAsia="宋体" w:cs="宋体"/>
          <w:kern w:val="2"/>
          <w:sz w:val="21"/>
          <w:szCs w:val="21"/>
        </w:rPr>
        <w:t> </w:t>
      </w:r>
    </w:p>
    <w:p w14:paraId="437B3C2B">
      <w:pPr>
        <w:pStyle w:val="9"/>
        <w:widowControl/>
        <w:spacing w:line="480" w:lineRule="exact"/>
        <w:ind w:firstLine="480"/>
        <w:jc w:val="both"/>
        <w:rPr>
          <w:rFonts w:ascii="宋体" w:hAnsi="宋体" w:eastAsia="宋体" w:cs="宋体"/>
          <w:kern w:val="2"/>
          <w:sz w:val="21"/>
          <w:szCs w:val="21"/>
        </w:rPr>
      </w:pPr>
      <w:r>
        <w:rPr>
          <w:rFonts w:hint="eastAsia" w:ascii="宋体" w:hAnsi="宋体" w:eastAsia="宋体" w:cs="宋体"/>
          <w:kern w:val="2"/>
          <w:sz w:val="21"/>
          <w:szCs w:val="21"/>
        </w:rPr>
        <w:t>招标代理机构：江苏仁禾中衡工程咨询房地产估价有限公司</w:t>
      </w:r>
    </w:p>
    <w:p w14:paraId="0FCE3E84">
      <w:pPr>
        <w:pStyle w:val="9"/>
        <w:widowControl/>
        <w:spacing w:line="480" w:lineRule="exact"/>
        <w:ind w:firstLine="480"/>
        <w:jc w:val="both"/>
        <w:rPr>
          <w:rFonts w:hint="default" w:ascii="宋体" w:hAnsi="宋体" w:eastAsia="宋体" w:cs="宋体"/>
          <w:kern w:val="2"/>
          <w:sz w:val="21"/>
          <w:szCs w:val="21"/>
          <w:lang w:val="en-US" w:eastAsia="zh-CN"/>
        </w:rPr>
      </w:pPr>
      <w:r>
        <w:rPr>
          <w:rFonts w:hint="eastAsia" w:ascii="宋体" w:hAnsi="宋体" w:eastAsia="宋体" w:cs="宋体"/>
          <w:kern w:val="2"/>
          <w:sz w:val="21"/>
          <w:szCs w:val="21"/>
        </w:rPr>
        <w:t>联系人：</w:t>
      </w:r>
      <w:r>
        <w:rPr>
          <w:rFonts w:hint="eastAsia" w:ascii="宋体" w:hAnsi="宋体" w:eastAsia="宋体" w:cs="宋体"/>
          <w:kern w:val="2"/>
          <w:sz w:val="21"/>
          <w:szCs w:val="21"/>
          <w:lang w:val="en-US" w:eastAsia="zh-CN"/>
        </w:rPr>
        <w:t>陈女士</w:t>
      </w:r>
    </w:p>
    <w:p w14:paraId="0C086A7C">
      <w:pPr>
        <w:pStyle w:val="9"/>
        <w:widowControl/>
        <w:spacing w:line="480" w:lineRule="exact"/>
        <w:ind w:firstLine="480"/>
        <w:jc w:val="both"/>
        <w:rPr>
          <w:rFonts w:ascii="宋体" w:hAnsi="宋体" w:eastAsia="宋体" w:cs="宋体"/>
          <w:kern w:val="2"/>
          <w:sz w:val="21"/>
          <w:szCs w:val="21"/>
        </w:rPr>
      </w:pPr>
      <w:r>
        <w:rPr>
          <w:rFonts w:hint="eastAsia" w:ascii="宋体" w:hAnsi="宋体" w:eastAsia="宋体" w:cs="宋体"/>
          <w:kern w:val="2"/>
          <w:sz w:val="21"/>
          <w:szCs w:val="21"/>
        </w:rPr>
        <w:t>联系电话：</w:t>
      </w:r>
      <w:r>
        <w:rPr>
          <w:rFonts w:hint="eastAsia" w:ascii="宋体" w:hAnsi="宋体" w:eastAsia="宋体" w:cs="宋体"/>
          <w:kern w:val="2"/>
          <w:sz w:val="21"/>
          <w:szCs w:val="21"/>
          <w:lang w:val="en-US" w:eastAsia="zh-CN"/>
        </w:rPr>
        <w:t>18068876608</w:t>
      </w:r>
      <w:r>
        <w:rPr>
          <w:rFonts w:hint="eastAsia" w:ascii="宋体" w:hAnsi="宋体" w:eastAsia="宋体" w:cs="宋体"/>
          <w:kern w:val="2"/>
          <w:sz w:val="21"/>
          <w:szCs w:val="21"/>
        </w:rPr>
        <w:t> </w:t>
      </w:r>
      <w:bookmarkEnd w:id="0"/>
      <w:bookmarkEnd w:id="1"/>
    </w:p>
    <w:sectPr>
      <w:pgSz w:w="11906" w:h="16838"/>
      <w:pgMar w:top="1440" w:right="1293" w:bottom="1440" w:left="1576"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5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monospace">
    <w:altName w:val="Courier New"/>
    <w:panose1 w:val="00000000000000000000"/>
    <w:charset w:val="00"/>
    <w:family w:val="auto"/>
    <w:pitch w:val="default"/>
    <w:sig w:usb0="00000000" w:usb1="00000000" w:usb2="00000000"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doNotDisplayPageBoundaries w:val="1"/>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zFhZGY0ZTViYWQyN2I0ZGJhNDk0OThkMjNkNmQ2MDYifQ=="/>
  </w:docVars>
  <w:rsids>
    <w:rsidRoot w:val="00B92CE9"/>
    <w:rsid w:val="00011347"/>
    <w:rsid w:val="0028688F"/>
    <w:rsid w:val="00326E42"/>
    <w:rsid w:val="00337139"/>
    <w:rsid w:val="00357124"/>
    <w:rsid w:val="004F7CED"/>
    <w:rsid w:val="0066629F"/>
    <w:rsid w:val="00677667"/>
    <w:rsid w:val="00683512"/>
    <w:rsid w:val="00687C2F"/>
    <w:rsid w:val="00793E8C"/>
    <w:rsid w:val="00842B7E"/>
    <w:rsid w:val="0091244E"/>
    <w:rsid w:val="009948E9"/>
    <w:rsid w:val="00A3064D"/>
    <w:rsid w:val="00AA7B8A"/>
    <w:rsid w:val="00B92CE9"/>
    <w:rsid w:val="00BA294F"/>
    <w:rsid w:val="00CD085C"/>
    <w:rsid w:val="00D10261"/>
    <w:rsid w:val="00DB3EA6"/>
    <w:rsid w:val="00EB03E9"/>
    <w:rsid w:val="00EC0BF2"/>
    <w:rsid w:val="00FC6E2B"/>
    <w:rsid w:val="011371EB"/>
    <w:rsid w:val="03D863CD"/>
    <w:rsid w:val="04A234ED"/>
    <w:rsid w:val="07C37E73"/>
    <w:rsid w:val="0B9C6212"/>
    <w:rsid w:val="0CB21A2B"/>
    <w:rsid w:val="0EEA05CB"/>
    <w:rsid w:val="0FBA3625"/>
    <w:rsid w:val="11CF152A"/>
    <w:rsid w:val="128561AA"/>
    <w:rsid w:val="15992C92"/>
    <w:rsid w:val="1AFA0443"/>
    <w:rsid w:val="1BCB0FDD"/>
    <w:rsid w:val="1C6E7E6B"/>
    <w:rsid w:val="1DB33095"/>
    <w:rsid w:val="1F8B6FD9"/>
    <w:rsid w:val="222A714D"/>
    <w:rsid w:val="22433956"/>
    <w:rsid w:val="270E3FFD"/>
    <w:rsid w:val="286D7229"/>
    <w:rsid w:val="2AEE3D5E"/>
    <w:rsid w:val="2BA54F2C"/>
    <w:rsid w:val="2D275D8B"/>
    <w:rsid w:val="2DC017E3"/>
    <w:rsid w:val="2F281646"/>
    <w:rsid w:val="2F842215"/>
    <w:rsid w:val="2F8E6786"/>
    <w:rsid w:val="310A0ACC"/>
    <w:rsid w:val="328604BD"/>
    <w:rsid w:val="32F32614"/>
    <w:rsid w:val="34532637"/>
    <w:rsid w:val="34845DE3"/>
    <w:rsid w:val="355B3066"/>
    <w:rsid w:val="36C607F0"/>
    <w:rsid w:val="38ED1CB6"/>
    <w:rsid w:val="39466031"/>
    <w:rsid w:val="3ACC2A8F"/>
    <w:rsid w:val="3C5D5455"/>
    <w:rsid w:val="3D747E7A"/>
    <w:rsid w:val="40B657E0"/>
    <w:rsid w:val="40E3466B"/>
    <w:rsid w:val="410776DF"/>
    <w:rsid w:val="41B158F6"/>
    <w:rsid w:val="484C4E25"/>
    <w:rsid w:val="49485026"/>
    <w:rsid w:val="4E9407BC"/>
    <w:rsid w:val="4FEB324A"/>
    <w:rsid w:val="55D43929"/>
    <w:rsid w:val="57DE642D"/>
    <w:rsid w:val="58B86DE6"/>
    <w:rsid w:val="5A4539A1"/>
    <w:rsid w:val="5F5024D2"/>
    <w:rsid w:val="648D3BB0"/>
    <w:rsid w:val="66FC2F4B"/>
    <w:rsid w:val="67033674"/>
    <w:rsid w:val="69A210DA"/>
    <w:rsid w:val="6D68053E"/>
    <w:rsid w:val="71292AB6"/>
    <w:rsid w:val="732802F7"/>
    <w:rsid w:val="742E53BE"/>
    <w:rsid w:val="759057C1"/>
    <w:rsid w:val="7B346CFF"/>
    <w:rsid w:val="7D033C1C"/>
    <w:rsid w:val="7E55177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qFormat="1" w:uiPriority="39"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qFormat="1" w:uiPriority="99"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iPriority="99"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qFormat="1"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iPriority="99" w:semiHidden="0" w:name="Plain Text"/>
    <w:lsdException w:unhideWhenUsed="0" w:uiPriority="0" w:semiHidden="0" w:name="E-mail Signature"/>
    <w:lsdException w:qFormat="1" w:unhideWhenUsed="0" w:uiPriority="0" w:semiHidden="0" w:name="Normal (Web)"/>
    <w:lsdException w:qFormat="1" w:unhideWhenUsed="0" w:uiPriority="0" w:semiHidden="0" w:name="HTML Acronym"/>
    <w:lsdException w:unhideWhenUsed="0" w:uiPriority="0" w:semiHidden="0" w:name="HTML Address"/>
    <w:lsdException w:qFormat="1" w:unhideWhenUsed="0" w:uiPriority="0" w:semiHidden="0" w:name="HTML Cite"/>
    <w:lsdException w:qFormat="1" w:unhideWhenUsed="0" w:uiPriority="0" w:semiHidden="0" w:name="HTML Code"/>
    <w:lsdException w:qFormat="1" w:unhideWhenUsed="0" w:uiPriority="0" w:semiHidden="0" w:name="HTML Definition"/>
    <w:lsdException w:qFormat="1" w:unhideWhenUsed="0" w:uiPriority="0" w:semiHidden="0" w:name="HTML Keyboard"/>
    <w:lsdException w:unhideWhenUsed="0" w:uiPriority="0" w:semiHidden="0" w:name="HTML Preformatted"/>
    <w:lsdException w:qFormat="1" w:unhideWhenUsed="0" w:uiPriority="0" w:semiHidden="0" w:name="HTML Sample"/>
    <w:lsdException w:qFormat="1" w:unhideWhenUsed="0" w:uiPriority="0" w:semiHidden="0" w:name="HTML Typewriter"/>
    <w:lsdException w:qFormat="1"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11">
    <w:name w:val="Default Paragraph Font"/>
    <w:semiHidden/>
    <w:unhideWhenUsed/>
    <w:qFormat/>
    <w:uiPriority w:val="1"/>
  </w:style>
  <w:style w:type="table" w:default="1" w:styleId="10">
    <w:name w:val="Normal Table"/>
    <w:semiHidden/>
    <w:unhideWhenUsed/>
    <w:qFormat/>
    <w:uiPriority w:val="99"/>
    <w:tblPr>
      <w:tblCellMar>
        <w:top w:w="0" w:type="dxa"/>
        <w:left w:w="108" w:type="dxa"/>
        <w:bottom w:w="0" w:type="dxa"/>
        <w:right w:w="108" w:type="dxa"/>
      </w:tblCellMar>
    </w:tblPr>
  </w:style>
  <w:style w:type="paragraph" w:styleId="2">
    <w:name w:val="Body Text First Indent 2"/>
    <w:basedOn w:val="3"/>
    <w:unhideWhenUsed/>
    <w:qFormat/>
    <w:uiPriority w:val="99"/>
    <w:pPr>
      <w:ind w:firstLine="420" w:firstLineChars="200"/>
    </w:pPr>
  </w:style>
  <w:style w:type="paragraph" w:styleId="3">
    <w:name w:val="Body Text Indent"/>
    <w:basedOn w:val="1"/>
    <w:unhideWhenUsed/>
    <w:qFormat/>
    <w:uiPriority w:val="99"/>
    <w:pPr>
      <w:spacing w:after="120"/>
      <w:ind w:left="420" w:leftChars="200"/>
    </w:pPr>
  </w:style>
  <w:style w:type="paragraph" w:styleId="4">
    <w:name w:val="Plain Text"/>
    <w:basedOn w:val="1"/>
    <w:unhideWhenUsed/>
    <w:qFormat/>
    <w:uiPriority w:val="99"/>
    <w:rPr>
      <w:rFonts w:ascii="宋体" w:hAnsi="Courier New"/>
      <w:szCs w:val="21"/>
    </w:rPr>
  </w:style>
  <w:style w:type="paragraph" w:styleId="5">
    <w:name w:val="Body Text Indent 2"/>
    <w:basedOn w:val="1"/>
    <w:autoRedefine/>
    <w:qFormat/>
    <w:uiPriority w:val="0"/>
    <w:pPr>
      <w:spacing w:after="120" w:line="480" w:lineRule="auto"/>
      <w:ind w:left="420" w:leftChars="200"/>
    </w:pPr>
  </w:style>
  <w:style w:type="paragraph" w:styleId="6">
    <w:name w:val="footer"/>
    <w:basedOn w:val="1"/>
    <w:link w:val="25"/>
    <w:qFormat/>
    <w:uiPriority w:val="0"/>
    <w:pPr>
      <w:tabs>
        <w:tab w:val="center" w:pos="4153"/>
        <w:tab w:val="right" w:pos="8306"/>
      </w:tabs>
      <w:snapToGrid w:val="0"/>
      <w:jc w:val="left"/>
    </w:pPr>
    <w:rPr>
      <w:sz w:val="18"/>
      <w:szCs w:val="18"/>
    </w:rPr>
  </w:style>
  <w:style w:type="paragraph" w:styleId="7">
    <w:name w:val="header"/>
    <w:basedOn w:val="1"/>
    <w:link w:val="24"/>
    <w:autoRedefine/>
    <w:qFormat/>
    <w:uiPriority w:val="0"/>
    <w:pPr>
      <w:pBdr>
        <w:bottom w:val="single" w:color="auto" w:sz="6" w:space="1"/>
      </w:pBdr>
      <w:tabs>
        <w:tab w:val="center" w:pos="4153"/>
        <w:tab w:val="right" w:pos="8306"/>
      </w:tabs>
      <w:snapToGrid w:val="0"/>
      <w:jc w:val="center"/>
    </w:pPr>
    <w:rPr>
      <w:sz w:val="18"/>
      <w:szCs w:val="18"/>
    </w:rPr>
  </w:style>
  <w:style w:type="paragraph" w:styleId="8">
    <w:name w:val="toc 2"/>
    <w:basedOn w:val="1"/>
    <w:next w:val="1"/>
    <w:unhideWhenUsed/>
    <w:qFormat/>
    <w:uiPriority w:val="39"/>
    <w:pPr>
      <w:ind w:left="420" w:leftChars="200"/>
    </w:pPr>
  </w:style>
  <w:style w:type="paragraph" w:styleId="9">
    <w:name w:val="Normal (Web)"/>
    <w:basedOn w:val="1"/>
    <w:qFormat/>
    <w:uiPriority w:val="0"/>
    <w:pPr>
      <w:jc w:val="left"/>
    </w:pPr>
    <w:rPr>
      <w:rFonts w:cs="Times New Roman"/>
      <w:kern w:val="0"/>
      <w:sz w:val="24"/>
    </w:rPr>
  </w:style>
  <w:style w:type="character" w:styleId="12">
    <w:name w:val="Strong"/>
    <w:basedOn w:val="11"/>
    <w:qFormat/>
    <w:uiPriority w:val="0"/>
  </w:style>
  <w:style w:type="character" w:styleId="13">
    <w:name w:val="FollowedHyperlink"/>
    <w:basedOn w:val="11"/>
    <w:autoRedefine/>
    <w:qFormat/>
    <w:uiPriority w:val="0"/>
    <w:rPr>
      <w:color w:val="800080"/>
      <w:u w:val="none"/>
    </w:rPr>
  </w:style>
  <w:style w:type="character" w:styleId="14">
    <w:name w:val="Emphasis"/>
    <w:basedOn w:val="11"/>
    <w:autoRedefine/>
    <w:qFormat/>
    <w:uiPriority w:val="0"/>
  </w:style>
  <w:style w:type="character" w:styleId="15">
    <w:name w:val="HTML Definition"/>
    <w:basedOn w:val="11"/>
    <w:autoRedefine/>
    <w:qFormat/>
    <w:uiPriority w:val="0"/>
  </w:style>
  <w:style w:type="character" w:styleId="16">
    <w:name w:val="HTML Typewriter"/>
    <w:basedOn w:val="11"/>
    <w:qFormat/>
    <w:uiPriority w:val="0"/>
    <w:rPr>
      <w:rFonts w:hint="default" w:ascii="monospace" w:hAnsi="monospace" w:eastAsia="monospace" w:cs="monospace"/>
      <w:sz w:val="20"/>
    </w:rPr>
  </w:style>
  <w:style w:type="character" w:styleId="17">
    <w:name w:val="HTML Acronym"/>
    <w:basedOn w:val="11"/>
    <w:qFormat/>
    <w:uiPriority w:val="0"/>
  </w:style>
  <w:style w:type="character" w:styleId="18">
    <w:name w:val="HTML Variable"/>
    <w:basedOn w:val="11"/>
    <w:autoRedefine/>
    <w:qFormat/>
    <w:uiPriority w:val="0"/>
  </w:style>
  <w:style w:type="character" w:styleId="19">
    <w:name w:val="Hyperlink"/>
    <w:basedOn w:val="11"/>
    <w:qFormat/>
    <w:uiPriority w:val="0"/>
    <w:rPr>
      <w:color w:val="0000FF"/>
      <w:u w:val="none"/>
    </w:rPr>
  </w:style>
  <w:style w:type="character" w:styleId="20">
    <w:name w:val="HTML Code"/>
    <w:basedOn w:val="11"/>
    <w:qFormat/>
    <w:uiPriority w:val="0"/>
    <w:rPr>
      <w:rFonts w:hint="default" w:ascii="monospace" w:hAnsi="monospace" w:eastAsia="monospace" w:cs="monospace"/>
      <w:sz w:val="20"/>
    </w:rPr>
  </w:style>
  <w:style w:type="character" w:styleId="21">
    <w:name w:val="HTML Cite"/>
    <w:basedOn w:val="11"/>
    <w:autoRedefine/>
    <w:qFormat/>
    <w:uiPriority w:val="0"/>
  </w:style>
  <w:style w:type="character" w:styleId="22">
    <w:name w:val="HTML Keyboard"/>
    <w:basedOn w:val="11"/>
    <w:qFormat/>
    <w:uiPriority w:val="0"/>
    <w:rPr>
      <w:rFonts w:hint="default" w:ascii="monospace" w:hAnsi="monospace" w:eastAsia="monospace" w:cs="monospace"/>
      <w:sz w:val="20"/>
    </w:rPr>
  </w:style>
  <w:style w:type="character" w:styleId="23">
    <w:name w:val="HTML Sample"/>
    <w:basedOn w:val="11"/>
    <w:qFormat/>
    <w:uiPriority w:val="0"/>
    <w:rPr>
      <w:rFonts w:ascii="monospace" w:hAnsi="monospace" w:eastAsia="monospace" w:cs="monospace"/>
    </w:rPr>
  </w:style>
  <w:style w:type="character" w:customStyle="1" w:styleId="24">
    <w:name w:val="页眉 Char"/>
    <w:basedOn w:val="11"/>
    <w:link w:val="7"/>
    <w:autoRedefine/>
    <w:qFormat/>
    <w:uiPriority w:val="0"/>
    <w:rPr>
      <w:rFonts w:asciiTheme="minorHAnsi" w:hAnsiTheme="minorHAnsi" w:eastAsiaTheme="minorEastAsia" w:cstheme="minorBidi"/>
      <w:kern w:val="2"/>
      <w:sz w:val="18"/>
      <w:szCs w:val="18"/>
    </w:rPr>
  </w:style>
  <w:style w:type="character" w:customStyle="1" w:styleId="25">
    <w:name w:val="页脚 Char"/>
    <w:basedOn w:val="11"/>
    <w:link w:val="6"/>
    <w:autoRedefine/>
    <w:qFormat/>
    <w:uiPriority w:val="0"/>
    <w:rPr>
      <w:rFonts w:asciiTheme="minorHAnsi" w:hAnsiTheme="minorHAnsi" w:eastAsiaTheme="minorEastAsia" w:cstheme="minorBidi"/>
      <w:kern w:val="2"/>
      <w:sz w:val="18"/>
      <w:szCs w:val="18"/>
    </w:rPr>
  </w:style>
  <w:style w:type="character" w:customStyle="1" w:styleId="26">
    <w:name w:val="hover"/>
    <w:basedOn w:val="11"/>
    <w:autoRedefine/>
    <w:qFormat/>
    <w:uiPriority w:val="0"/>
    <w:rPr>
      <w:shd w:val="clear" w:fill="EEEEEE"/>
    </w:rPr>
  </w:style>
  <w:style w:type="character" w:customStyle="1" w:styleId="27">
    <w:name w:val="hour_am"/>
    <w:basedOn w:val="11"/>
    <w:autoRedefine/>
    <w:qFormat/>
    <w:uiPriority w:val="0"/>
  </w:style>
  <w:style w:type="character" w:customStyle="1" w:styleId="28">
    <w:name w:val="old"/>
    <w:basedOn w:val="11"/>
    <w:qFormat/>
    <w:uiPriority w:val="0"/>
    <w:rPr>
      <w:color w:val="999999"/>
    </w:rPr>
  </w:style>
  <w:style w:type="character" w:customStyle="1" w:styleId="29">
    <w:name w:val="hour_pm"/>
    <w:basedOn w:val="11"/>
    <w:qFormat/>
    <w:uiPriority w:val="0"/>
  </w:style>
  <w:style w:type="character" w:customStyle="1" w:styleId="30">
    <w:name w:val="glyphicon"/>
    <w:basedOn w:val="11"/>
    <w:qFormat/>
    <w:uiPriority w:val="0"/>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5</Pages>
  <Words>3808</Words>
  <Characters>3952</Characters>
  <Lines>35</Lines>
  <Paragraphs>9</Paragraphs>
  <TotalTime>95</TotalTime>
  <ScaleCrop>false</ScaleCrop>
  <LinksUpToDate>false</LinksUpToDate>
  <CharactersWithSpaces>3974</CharactersWithSpaces>
  <Application>WPS Office_12.1.0.17147_F1E327BC-269C-435d-A152-05C5408002CA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2023-12-26T09:29:00Z</dcterms:created>
  <dc:creator>Administrator</dc:creator>
  <cp:lastModifiedBy>月小一</cp:lastModifiedBy>
  <cp:lastPrinted>2024-07-22T02:21:00Z</cp:lastPrinted>
  <dcterms:modified xsi:type="dcterms:W3CDTF">2024-07-22T10:05:52Z</dcterms:modified>
  <cp:revision>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2052-12.1.0.17147</vt:lpwstr>
  </property>
  <property fmtid="{D5CDD505-2E9C-101B-9397-08002B2CF9AE}" pid="3" name="ICV">
    <vt:lpwstr>D303230DBEDA4D84A856980A4C87930B</vt:lpwstr>
  </property>
  <property fmtid="{D5CDD505-2E9C-101B-9397-08002B2CF9AE}" pid="4" name="commondata">
    <vt:lpwstr>eyJoZGlkIjoiMGJmNDBhMmE2ODRmNzA3NmRiMTAwNDI2MWMwYzczMzEifQ==</vt:lpwstr>
  </property>
</Properties>
</file>