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DCC6">
      <w:pPr>
        <w:pStyle w:val="2"/>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lang w:eastAsia="zh-CN"/>
        </w:rPr>
      </w:pPr>
      <w:r>
        <w:rPr>
          <w:rFonts w:hint="eastAsia" w:ascii="宋体" w:hAnsi="宋体" w:eastAsia="宋体" w:cs="宋体"/>
          <w:lang w:eastAsia="zh-CN"/>
        </w:rPr>
        <w:t>创新大厦南楼10楼安全阵地装修项目</w:t>
      </w:r>
      <w:r>
        <w:rPr>
          <w:rFonts w:hint="eastAsia" w:ascii="宋体" w:hAnsi="宋体" w:eastAsia="宋体" w:cs="宋体"/>
        </w:rPr>
        <w:t>招标公告</w:t>
      </w:r>
      <w:r>
        <w:rPr>
          <w:rFonts w:hint="eastAsia" w:ascii="宋体" w:hAnsi="宋体" w:eastAsia="宋体" w:cs="宋体"/>
          <w:lang w:eastAsia="zh-CN"/>
        </w:rPr>
        <w:t>（</w:t>
      </w:r>
      <w:r>
        <w:rPr>
          <w:rFonts w:hint="eastAsia" w:ascii="宋体" w:hAnsi="宋体" w:eastAsia="宋体" w:cs="宋体"/>
          <w:lang w:val="en-US" w:eastAsia="zh-CN"/>
        </w:rPr>
        <w:t>二次</w:t>
      </w:r>
      <w:r>
        <w:rPr>
          <w:rFonts w:hint="eastAsia" w:ascii="宋体" w:hAnsi="宋体" w:eastAsia="宋体" w:cs="宋体"/>
          <w:lang w:eastAsia="zh-CN"/>
        </w:rPr>
        <w:t>）</w:t>
      </w:r>
    </w:p>
    <w:p w14:paraId="7FA733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4432DE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创新大厦南楼10楼安全阵地装修项目</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394A11D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6A7174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创新大厦南楼10楼安全阵地装修项目</w:t>
      </w:r>
      <w:r>
        <w:rPr>
          <w:rFonts w:hint="eastAsia" w:ascii="宋体" w:hAnsi="宋体" w:eastAsia="宋体" w:cs="宋体"/>
          <w:i w:val="0"/>
          <w:iCs w:val="0"/>
          <w:caps w:val="0"/>
          <w:color w:val="333333"/>
          <w:spacing w:val="0"/>
          <w:sz w:val="24"/>
          <w:szCs w:val="24"/>
          <w:shd w:val="clear" w:fill="FFFFFF"/>
        </w:rPr>
        <w:t>。</w:t>
      </w:r>
    </w:p>
    <w:p w14:paraId="49BE23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盐城盐数网安科技有限公司</w:t>
      </w:r>
      <w:r>
        <w:rPr>
          <w:rFonts w:hint="eastAsia" w:ascii="宋体" w:hAnsi="宋体" w:eastAsia="宋体" w:cs="宋体"/>
          <w:i w:val="0"/>
          <w:iCs w:val="0"/>
          <w:caps w:val="0"/>
          <w:color w:val="333333"/>
          <w:spacing w:val="0"/>
          <w:sz w:val="24"/>
          <w:szCs w:val="24"/>
          <w:shd w:val="clear" w:fill="FFFFFF"/>
        </w:rPr>
        <w:t>。</w:t>
      </w:r>
    </w:p>
    <w:p w14:paraId="1EC5E3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项目规模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投资约4万元</w:t>
      </w:r>
    </w:p>
    <w:p w14:paraId="75E48A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p>
    <w:p w14:paraId="0CC6FA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、工期要求：</w:t>
      </w:r>
      <w:r>
        <w:rPr>
          <w:rFonts w:hint="eastAsia" w:cs="宋体"/>
          <w:i w:val="0"/>
          <w:iCs w:val="0"/>
          <w:caps w:val="0"/>
          <w:color w:val="333333"/>
          <w:spacing w:val="0"/>
          <w:sz w:val="24"/>
          <w:szCs w:val="24"/>
          <w:shd w:val="clear" w:fill="FFFFFF"/>
          <w:lang w:val="en-US" w:eastAsia="zh-CN"/>
        </w:rPr>
        <w:t>30日历天</w:t>
      </w:r>
      <w:r>
        <w:rPr>
          <w:rFonts w:hint="eastAsia" w:ascii="宋体" w:hAnsi="宋体" w:eastAsia="宋体" w:cs="宋体"/>
          <w:i w:val="0"/>
          <w:iCs w:val="0"/>
          <w:caps w:val="0"/>
          <w:color w:val="333333"/>
          <w:spacing w:val="0"/>
          <w:sz w:val="24"/>
          <w:szCs w:val="24"/>
          <w:shd w:val="clear" w:fill="FFFFFF"/>
        </w:rPr>
        <w:t>，具体服从招标人建设要求</w:t>
      </w:r>
    </w:p>
    <w:p w14:paraId="10A7D8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、标段划分及招标范围：本招标工程为一个标段；主要内容包括（但不限于）：</w:t>
      </w:r>
      <w:r>
        <w:rPr>
          <w:rFonts w:hint="eastAsia" w:cs="宋体"/>
          <w:i w:val="0"/>
          <w:iCs w:val="0"/>
          <w:caps w:val="0"/>
          <w:color w:val="333333"/>
          <w:spacing w:val="0"/>
          <w:sz w:val="24"/>
          <w:szCs w:val="24"/>
          <w:shd w:val="clear" w:fill="FFFFFF"/>
          <w:lang w:eastAsia="zh-CN"/>
        </w:rPr>
        <w:t>创新大厦南楼10楼安全阵地装修项目</w:t>
      </w:r>
      <w:r>
        <w:rPr>
          <w:rFonts w:hint="eastAsia" w:ascii="宋体" w:hAnsi="宋体" w:eastAsia="宋体" w:cs="宋体"/>
          <w:i w:val="0"/>
          <w:iCs w:val="0"/>
          <w:caps w:val="0"/>
          <w:color w:val="333333"/>
          <w:spacing w:val="0"/>
          <w:sz w:val="24"/>
          <w:szCs w:val="24"/>
          <w:shd w:val="clear" w:fill="FFFFFF"/>
        </w:rPr>
        <w:t>，具体以招标人提供的工程量清单为准。</w:t>
      </w:r>
    </w:p>
    <w:p w14:paraId="266F21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668B85F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1、投标人资质类别和等级：投标申请人须为具有国家建设行政主管部门颁发的建筑装修装饰工程专业承包二级及以上施工资质</w:t>
      </w:r>
      <w:r>
        <w:rPr>
          <w:rFonts w:hint="eastAsia" w:ascii="宋体" w:hAnsi="宋体" w:eastAsia="宋体" w:cs="宋体"/>
          <w:i w:val="0"/>
          <w:iCs w:val="0"/>
          <w:caps w:val="0"/>
          <w:color w:val="333333"/>
          <w:spacing w:val="0"/>
          <w:sz w:val="24"/>
          <w:szCs w:val="24"/>
          <w:lang w:val="en-US" w:eastAsia="zh-CN"/>
        </w:rPr>
        <w:t>的独立法人</w:t>
      </w:r>
      <w:r>
        <w:rPr>
          <w:rFonts w:hint="eastAsia" w:ascii="宋体" w:hAnsi="宋体" w:eastAsia="宋体" w:cs="宋体"/>
          <w:i w:val="0"/>
          <w:iCs w:val="0"/>
          <w:caps w:val="0"/>
          <w:color w:val="333333"/>
          <w:spacing w:val="0"/>
          <w:sz w:val="24"/>
          <w:szCs w:val="24"/>
        </w:rPr>
        <w:t>，并具有在有效期内的安全生产许可证。</w:t>
      </w:r>
    </w:p>
    <w:p w14:paraId="3398D36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70E7E37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6A97B9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53EBE05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5EB6A2BF">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r>
        <w:rPr>
          <w:rFonts w:hint="eastAsia" w:ascii="宋体" w:hAnsi="宋体" w:eastAsia="宋体" w:cs="宋体"/>
          <w:kern w:val="0"/>
          <w:sz w:val="24"/>
          <w:szCs w:val="24"/>
        </w:rPr>
        <w:t>投标人不得存在下列情形：</w:t>
      </w:r>
    </w:p>
    <w:p w14:paraId="29E8CA7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1）被国家、江苏本省省级有关部门及盐城本市市级、盐南高新区有关部门暂停招投标或市场准入资格且在公示处罚期内的。</w:t>
      </w:r>
    </w:p>
    <w:p w14:paraId="057B01FC">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2）在招投标活动中因本招标文件第二章投标人须知10.1.1、10.1.2所列的不良行为，在“江苏省建设工程招标网”公示期间的。 </w:t>
      </w:r>
    </w:p>
    <w:p w14:paraId="51F6A331">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3）近3年内有行贿犯罪行为且被记录，或者法定代表人、项目负责人有行贿犯罪记录且自记录之日起未超过5年的。（均自记录之日起至投标截止日止）</w:t>
      </w:r>
    </w:p>
    <w:p w14:paraId="2B77D013">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4）被人民法院列为失信被执行人的信息正在被“信用中国”、“信用江苏”网站公布的，投标截止时间前失信被执行人信息已撤销或更正的除外。 </w:t>
      </w:r>
    </w:p>
    <w:p w14:paraId="2D2754FD">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5）投标人作为失信联合惩戒对象被采取依法限制参与建设工程招投标惩戒措施的，且被有关部门推送在“信用中国”、“信用江苏”、“信用盐城”相关网站公示且在有效期内的。</w:t>
      </w:r>
    </w:p>
    <w:p w14:paraId="107F71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BA7C17">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项目负责人从本工程投标文件递交截止之日起必须满足下列条件：</w:t>
      </w:r>
    </w:p>
    <w:p w14:paraId="61EC053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.1项目负责人不得同时在两个或者两个以上单位受聘或者执业。</w:t>
      </w:r>
    </w:p>
    <w:p w14:paraId="403991E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4D61238">
      <w:pPr>
        <w:spacing w:line="480" w:lineRule="exact"/>
        <w:ind w:firstLine="480" w:firstLineChars="200"/>
        <w:contextualSpacing/>
        <w:rPr>
          <w:rFonts w:ascii="宋体" w:hAnsi="宋体" w:eastAsia="宋体"/>
          <w:sz w:val="24"/>
          <w:szCs w:val="32"/>
        </w:rPr>
      </w:pPr>
      <w:r>
        <w:rPr>
          <w:rFonts w:hint="eastAsia" w:ascii="宋体" w:hAnsi="宋体" w:eastAsia="宋体"/>
          <w:sz w:val="24"/>
          <w:szCs w:val="32"/>
        </w:rPr>
        <w:t>在建</w:t>
      </w:r>
      <w:r>
        <w:rPr>
          <w:rFonts w:ascii="宋体" w:hAnsi="宋体" w:eastAsia="宋体"/>
          <w:sz w:val="24"/>
          <w:szCs w:val="32"/>
        </w:rPr>
        <w:t>工程</w:t>
      </w:r>
      <w:r>
        <w:rPr>
          <w:rFonts w:hint="eastAsia" w:ascii="宋体" w:hAnsi="宋体" w:eastAsia="宋体"/>
          <w:sz w:val="24"/>
          <w:szCs w:val="32"/>
        </w:rPr>
        <w:t>：</w:t>
      </w:r>
      <w:r>
        <w:rPr>
          <w:rFonts w:ascii="宋体" w:hAnsi="宋体" w:eastAsia="宋体"/>
          <w:sz w:val="24"/>
          <w:szCs w:val="32"/>
        </w:rPr>
        <w:t>处于中标结果公告（直接发包的项目以网上合同备案</w:t>
      </w:r>
      <w:r>
        <w:rPr>
          <w:rFonts w:hint="eastAsia" w:ascii="宋体" w:hAnsi="宋体" w:eastAsia="宋体"/>
          <w:sz w:val="24"/>
          <w:szCs w:val="32"/>
        </w:rPr>
        <w:t>或归集</w:t>
      </w:r>
      <w:r>
        <w:rPr>
          <w:rFonts w:ascii="宋体" w:hAnsi="宋体" w:eastAsia="宋体"/>
          <w:sz w:val="24"/>
          <w:szCs w:val="32"/>
        </w:rPr>
        <w:t>为准）到合同约定的工程全部完成且竣工验收合格期间的工程。竣工验收证明是指由建设单位（或监理）组织工程建设各方验收合格，并签署相应的单位工程质量竣工验收记录或者分部工程质量验 收记录等验收文件。</w:t>
      </w:r>
    </w:p>
    <w:p w14:paraId="01CD9BC0">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sz w:val="24"/>
          <w:szCs w:val="32"/>
        </w:rPr>
        <w:t>本项目招标文件项目负责人有在养护期内的绿化养护、市政养护项目的，</w:t>
      </w:r>
      <w:r>
        <w:rPr>
          <w:rFonts w:ascii="宋体" w:hAnsi="宋体" w:eastAsia="宋体"/>
          <w:sz w:val="24"/>
          <w:szCs w:val="32"/>
        </w:rPr>
        <w:t>不属于招标公告及文件规定的有在建工程</w:t>
      </w:r>
      <w:r>
        <w:rPr>
          <w:rFonts w:hint="eastAsia" w:ascii="宋体" w:hAnsi="宋体" w:eastAsia="宋体"/>
          <w:sz w:val="24"/>
          <w:szCs w:val="32"/>
        </w:rPr>
        <w:t>。绿化养护、市政养护工程招标，对项目负责人是否有在建工程不作要求。</w:t>
      </w:r>
    </w:p>
    <w:p w14:paraId="219E6144">
      <w:pPr>
        <w:widowControl/>
        <w:shd w:val="clear" w:color="auto" w:fill="FFFFFF"/>
        <w:spacing w:line="480" w:lineRule="exact"/>
        <w:ind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sz w:val="24"/>
          <w:szCs w:val="32"/>
        </w:rPr>
        <w:t>4.</w:t>
      </w:r>
      <w:r>
        <w:rPr>
          <w:rFonts w:hint="eastAsia" w:ascii="宋体" w:hAnsi="宋体" w:eastAsia="宋体"/>
          <w:sz w:val="24"/>
          <w:szCs w:val="32"/>
          <w:lang w:val="en-US" w:eastAsia="zh-CN"/>
        </w:rPr>
        <w:t>4投标申请人须保证项目负责人及</w:t>
      </w:r>
      <w:r>
        <w:rPr>
          <w:rFonts w:hint="eastAsia" w:ascii="宋体" w:hAnsi="宋体"/>
          <w:sz w:val="24"/>
          <w:szCs w:val="32"/>
          <w:lang w:val="en-US" w:eastAsia="zh-CN"/>
        </w:rPr>
        <w:t>授权委托人</w:t>
      </w:r>
      <w:r>
        <w:rPr>
          <w:rFonts w:hint="eastAsia" w:ascii="宋体" w:hAnsi="宋体" w:eastAsia="宋体"/>
          <w:sz w:val="24"/>
          <w:szCs w:val="32"/>
          <w:lang w:val="en-US" w:eastAsia="zh-CN"/>
        </w:rPr>
        <w:t>均为本单位的正式职工，投标时提供项目负责人及代理人从2024年1</w:t>
      </w:r>
      <w:r>
        <w:rPr>
          <w:rFonts w:hint="eastAsia" w:ascii="宋体" w:hAnsi="宋体"/>
          <w:sz w:val="24"/>
          <w:szCs w:val="32"/>
          <w:lang w:val="en-US" w:eastAsia="zh-CN"/>
        </w:rPr>
        <w:t>0</w:t>
      </w:r>
      <w:r>
        <w:rPr>
          <w:rFonts w:hint="eastAsia" w:ascii="宋体" w:hAnsi="宋体" w:eastAsia="宋体"/>
          <w:sz w:val="24"/>
          <w:szCs w:val="32"/>
          <w:lang w:val="en-US" w:eastAsia="zh-CN"/>
        </w:rPr>
        <w:t>月开始至投标截止之日当月至少1个月在本单位缴纳养老保险缴费记录证明。（退休人员提供在本单位相关证明。）</w:t>
      </w:r>
    </w:p>
    <w:p w14:paraId="55958D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14:paraId="6B2046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w:t>
      </w:r>
      <w:r>
        <w:rPr>
          <w:rFonts w:hint="eastAsia" w:cs="宋体"/>
          <w:sz w:val="24"/>
          <w:lang w:val="en-US" w:eastAsia="zh-CN"/>
        </w:rPr>
        <w:t>25</w:t>
      </w:r>
      <w:r>
        <w:rPr>
          <w:rFonts w:hint="eastAsia" w:ascii="宋体" w:hAnsi="宋体" w:eastAsia="宋体" w:cs="宋体"/>
          <w:sz w:val="24"/>
          <w:lang w:val="en-US" w:eastAsia="zh-CN"/>
        </w:rPr>
        <w:t>年</w:t>
      </w:r>
      <w:r>
        <w:rPr>
          <w:rFonts w:hint="eastAsia" w:cs="宋体"/>
          <w:sz w:val="24"/>
          <w:lang w:val="en-US" w:eastAsia="zh-CN"/>
        </w:rPr>
        <w:t>2</w:t>
      </w:r>
      <w:r>
        <w:rPr>
          <w:rFonts w:hint="eastAsia" w:ascii="宋体" w:hAnsi="宋体" w:eastAsia="宋体" w:cs="宋体"/>
          <w:sz w:val="24"/>
          <w:lang w:val="en-US" w:eastAsia="zh-CN"/>
        </w:rPr>
        <w:t>月</w:t>
      </w:r>
      <w:r>
        <w:rPr>
          <w:rFonts w:hint="eastAsia" w:cs="宋体"/>
          <w:sz w:val="24"/>
          <w:lang w:val="en-US" w:eastAsia="zh-CN"/>
        </w:rPr>
        <w:t>11</w:t>
      </w:r>
      <w:r>
        <w:rPr>
          <w:rFonts w:hint="eastAsia" w:ascii="宋体" w:hAnsi="宋体" w:eastAsia="宋体" w:cs="宋体"/>
          <w:sz w:val="24"/>
          <w:lang w:val="en-US" w:eastAsia="zh-CN"/>
        </w:rPr>
        <w:t>日至202</w:t>
      </w:r>
      <w:r>
        <w:rPr>
          <w:rFonts w:hint="eastAsia" w:cs="宋体"/>
          <w:sz w:val="24"/>
          <w:lang w:val="en-US" w:eastAsia="zh-CN"/>
        </w:rPr>
        <w:t>5</w:t>
      </w:r>
      <w:r>
        <w:rPr>
          <w:rFonts w:hint="eastAsia" w:ascii="宋体" w:hAnsi="宋体" w:eastAsia="宋体" w:cs="宋体"/>
          <w:sz w:val="24"/>
          <w:lang w:val="en-US" w:eastAsia="zh-CN"/>
        </w:rPr>
        <w:t>年</w:t>
      </w:r>
      <w:r>
        <w:rPr>
          <w:rFonts w:hint="eastAsia" w:cs="宋体"/>
          <w:sz w:val="24"/>
          <w:lang w:val="en-US" w:eastAsia="zh-CN"/>
        </w:rPr>
        <w:t>2</w:t>
      </w:r>
      <w:r>
        <w:rPr>
          <w:rFonts w:hint="eastAsia" w:ascii="宋体" w:hAnsi="宋体" w:eastAsia="宋体" w:cs="宋体"/>
          <w:sz w:val="24"/>
          <w:lang w:val="en-US" w:eastAsia="zh-CN"/>
        </w:rPr>
        <w:t>月</w:t>
      </w:r>
      <w:r>
        <w:rPr>
          <w:rFonts w:hint="eastAsia" w:cs="宋体"/>
          <w:sz w:val="24"/>
          <w:lang w:val="en-US" w:eastAsia="zh-CN"/>
        </w:rPr>
        <w:t>17</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sz w:val="24"/>
          <w:lang w:val="en-US" w:eastAsia="zh-CN"/>
        </w:rPr>
        <w:t>获取</w:t>
      </w:r>
      <w:r>
        <w:rPr>
          <w:rFonts w:hint="eastAsia" w:ascii="宋体" w:hAnsi="宋体" w:cs="宋体"/>
          <w:sz w:val="24"/>
          <w:lang w:val="en-US" w:eastAsia="zh-CN"/>
        </w:rPr>
        <w:t>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1663302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2</w:t>
      </w:r>
      <w:r>
        <w:rPr>
          <w:rFonts w:hint="eastAsia" w:ascii="宋体" w:hAnsi="宋体" w:eastAsia="宋体" w:cs="宋体"/>
          <w:sz w:val="24"/>
          <w:lang w:val="en-US" w:eastAsia="zh-CN"/>
        </w:rPr>
        <w:t>月</w:t>
      </w:r>
      <w:r>
        <w:rPr>
          <w:rFonts w:hint="eastAsia" w:cs="宋体"/>
          <w:sz w:val="24"/>
          <w:lang w:val="en-US" w:eastAsia="zh-CN"/>
        </w:rPr>
        <w:t>18</w:t>
      </w:r>
      <w:r>
        <w:rPr>
          <w:rFonts w:hint="eastAsia" w:ascii="宋体" w:hAnsi="宋体" w:eastAsia="宋体" w:cs="宋体"/>
          <w:sz w:val="24"/>
          <w:lang w:val="en-US" w:eastAsia="zh-CN"/>
        </w:rPr>
        <w:t>日</w:t>
      </w:r>
      <w:r>
        <w:rPr>
          <w:rFonts w:hint="eastAsia" w:cs="宋体"/>
          <w:sz w:val="24"/>
          <w:lang w:val="en-US" w:eastAsia="zh-CN"/>
        </w:rPr>
        <w:t>15:00</w:t>
      </w:r>
      <w:r>
        <w:rPr>
          <w:rFonts w:hint="eastAsia" w:ascii="宋体" w:hAnsi="宋体" w:eastAsia="宋体" w:cs="宋体"/>
          <w:i w:val="0"/>
          <w:iCs w:val="0"/>
          <w:caps w:val="0"/>
          <w:color w:val="333333"/>
          <w:spacing w:val="0"/>
          <w:sz w:val="24"/>
          <w:szCs w:val="24"/>
          <w:shd w:val="clear" w:fill="FFFFFF"/>
        </w:rPr>
        <w:t>时。</w:t>
      </w:r>
    </w:p>
    <w:p w14:paraId="3064DE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bookmarkStart w:id="0" w:name="_GoBack"/>
      <w:bookmarkEnd w:id="0"/>
    </w:p>
    <w:p w14:paraId="2A2683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27DE92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伍佰元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¥500.00元</w:t>
      </w:r>
      <w:r>
        <w:rPr>
          <w:rFonts w:hint="eastAsia" w:ascii="宋体" w:hAnsi="宋体" w:eastAsia="宋体" w:cs="宋体"/>
          <w:i w:val="0"/>
          <w:iCs w:val="0"/>
          <w:caps w:val="0"/>
          <w:color w:val="333333"/>
          <w:spacing w:val="0"/>
          <w:sz w:val="24"/>
          <w:szCs w:val="24"/>
          <w:shd w:val="clear" w:fill="FFFFFF"/>
        </w:rPr>
        <w:t>）。投标人须在本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66A0CD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val="0"/>
          <w:bCs w:val="0"/>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开户名：</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cs="宋体"/>
          <w:i w:val="0"/>
          <w:iCs w:val="0"/>
          <w:caps w:val="0"/>
          <w:color w:val="333333"/>
          <w:spacing w:val="0"/>
          <w:sz w:val="24"/>
          <w:szCs w:val="24"/>
          <w:shd w:val="clear" w:fill="FFFFFF"/>
          <w:lang w:val="en-US" w:eastAsia="zh-CN"/>
        </w:rPr>
        <w:t>盐城盐数网安科技有限公司</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；开户行：</w:t>
      </w:r>
      <w:r>
        <w:rPr>
          <w:rFonts w:hint="eastAsia" w:ascii="宋体" w:hAnsi="宋体" w:eastAsia="宋体" w:cs="宋体"/>
          <w:i w:val="0"/>
          <w:iCs w:val="0"/>
          <w:caps w:val="0"/>
          <w:color w:val="333333"/>
          <w:spacing w:val="0"/>
          <w:sz w:val="24"/>
          <w:szCs w:val="24"/>
          <w:shd w:val="clear" w:fill="FFFFFF"/>
          <w:lang w:val="en-US" w:eastAsia="zh-CN"/>
        </w:rPr>
        <w:t xml:space="preserve">中国建设银行股份有限公司盐城城南支行 </w:t>
      </w:r>
      <w:r>
        <w:rPr>
          <w:rFonts w:hint="eastAsia" w:ascii="宋体" w:hAnsi="宋体" w:eastAsia="宋体" w:cs="宋体"/>
          <w:i w:val="0"/>
          <w:iCs w:val="0"/>
          <w:caps w:val="0"/>
          <w:color w:val="333333"/>
          <w:spacing w:val="0"/>
          <w:sz w:val="24"/>
          <w:szCs w:val="24"/>
          <w:shd w:val="clear" w:fill="FFFFFF"/>
          <w:lang w:eastAsia="zh-CN"/>
        </w:rPr>
        <w:t>；账号：32050173503800003127</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w:t>
      </w:r>
      <w:r>
        <w:rPr>
          <w:rFonts w:hint="eastAsia" w:cs="宋体"/>
          <w:i w:val="0"/>
          <w:iCs w:val="0"/>
          <w:caps w:val="0"/>
          <w:color w:val="333333"/>
          <w:spacing w:val="0"/>
          <w:sz w:val="24"/>
          <w:szCs w:val="24"/>
          <w:shd w:val="clear" w:fill="FFFFFF"/>
          <w:lang w:eastAsia="zh-CN"/>
        </w:rPr>
        <w:t>。</w:t>
      </w:r>
    </w:p>
    <w:p w14:paraId="52BD973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5.3.1采用银行汇票、本票、保函、电汇、转账、银行保函、保险机构保单缴纳投标保证金的，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4A1B6F9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2F828D5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3CECBE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709759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5E6D5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2A5DF4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5.4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7D16D88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4E2D0C4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295B1B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0EB2A5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4ABE8C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1CA123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57646B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47EFD7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27A61B1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2018B3D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097A27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④中标项目经理被反映或投诉有在建工程，投标人及项目经理业绩为虚假业绩，并经查属实的。</w:t>
      </w:r>
    </w:p>
    <w:p w14:paraId="7B6051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5D199C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六、本项目评标、定标办法采用“合理低价法”，具体内容详见招标文件。</w:t>
      </w:r>
    </w:p>
    <w:p w14:paraId="6C00855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七、本项目严禁挂靠、转包，一经核实挂靠、转包的，将被取消投标、中标资格，并按相关规定进行处罚，直至建议有关部门吊销资质证书。</w:t>
      </w:r>
    </w:p>
    <w:p w14:paraId="716900B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、联系方式</w:t>
      </w:r>
    </w:p>
    <w:p w14:paraId="3780A5E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盐城盐数网安科技有限公司</w:t>
      </w:r>
      <w:r>
        <w:rPr>
          <w:rFonts w:hint="eastAsia" w:ascii="宋体" w:hAnsi="宋体" w:eastAsia="宋体" w:cs="宋体"/>
          <w:i w:val="0"/>
          <w:iCs w:val="0"/>
          <w:caps w:val="0"/>
          <w:color w:val="333333"/>
          <w:spacing w:val="0"/>
          <w:sz w:val="24"/>
          <w:szCs w:val="24"/>
          <w:shd w:val="clear" w:fill="FFFFFF"/>
        </w:rPr>
        <w:t> </w:t>
      </w:r>
    </w:p>
    <w:p w14:paraId="0B801AE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周主任</w:t>
      </w:r>
    </w:p>
    <w:p w14:paraId="167BC9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cs="宋体"/>
          <w:i w:val="0"/>
          <w:iCs w:val="0"/>
          <w:caps w:val="0"/>
          <w:color w:val="333333"/>
          <w:spacing w:val="0"/>
          <w:sz w:val="24"/>
          <w:szCs w:val="24"/>
          <w:highlight w:val="none"/>
          <w:shd w:val="clear" w:fill="FFFFFF"/>
          <w:lang w:val="en-US" w:eastAsia="zh-CN"/>
        </w:rPr>
        <w:t>15895185003</w:t>
      </w:r>
    </w:p>
    <w:p w14:paraId="3A6C55C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p>
    <w:p w14:paraId="631B96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5474202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7FA53F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201ECA5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