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C4E1A">
      <w:pPr>
        <w:pStyle w:val="5"/>
        <w:spacing w:before="120" w:after="0" w:line="480" w:lineRule="auto"/>
        <w:jc w:val="center"/>
        <w:rPr>
          <w:rFonts w:hint="eastAsia" w:ascii="宋体" w:hAnsi="宋体" w:cs="宋体"/>
          <w:sz w:val="36"/>
        </w:rPr>
      </w:pPr>
      <w:r>
        <w:rPr>
          <w:rFonts w:hint="eastAsia" w:ascii="宋体" w:hAnsi="宋体" w:cs="宋体"/>
          <w:sz w:val="36"/>
          <w:lang w:eastAsia="zh-CN"/>
        </w:rPr>
        <w:t>信创基地增补实验室家具采购项目</w:t>
      </w:r>
      <w:r>
        <w:rPr>
          <w:rFonts w:hint="eastAsia" w:ascii="宋体" w:hAnsi="宋体" w:cs="宋体"/>
          <w:sz w:val="36"/>
        </w:rPr>
        <w:t>招标公告</w:t>
      </w:r>
    </w:p>
    <w:p w14:paraId="548D98B1">
      <w:pPr>
        <w:pStyle w:val="5"/>
        <w:spacing w:before="120" w:after="0" w:line="480" w:lineRule="auto"/>
        <w:ind w:firstLine="420" w:firstLineChars="200"/>
        <w:jc w:val="both"/>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一、招标条件</w:t>
      </w:r>
    </w:p>
    <w:p w14:paraId="0A3D3E07">
      <w:pPr>
        <w:widowControl/>
        <w:spacing w:line="480" w:lineRule="exact"/>
        <w:ind w:firstLine="480"/>
        <w:rPr>
          <w:rFonts w:ascii="宋体" w:hAnsi="宋体" w:eastAsia="宋体" w:cs="宋体"/>
          <w:sz w:val="21"/>
          <w:szCs w:val="21"/>
        </w:rPr>
      </w:pPr>
      <w:r>
        <w:rPr>
          <w:rFonts w:hint="eastAsia" w:ascii="宋体" w:hAnsi="宋体" w:eastAsia="宋体" w:cs="宋体"/>
          <w:sz w:val="21"/>
          <w:szCs w:val="21"/>
          <w:lang w:eastAsia="zh-CN"/>
        </w:rPr>
        <w:t>信创基地增补实验室家具采购项目</w:t>
      </w:r>
      <w:r>
        <w:rPr>
          <w:rFonts w:hint="eastAsia" w:ascii="宋体" w:hAnsi="宋体" w:eastAsia="宋体" w:cs="宋体"/>
          <w:sz w:val="21"/>
          <w:szCs w:val="21"/>
        </w:rPr>
        <w:t>已经批准建设，所需资金来源自筹并已落实。已具备招标条件，现对该项目进行公开招标。本次招标对投标人的资格审查，采用资格后审方法选择合格的投标申请人参加投标。</w:t>
      </w:r>
    </w:p>
    <w:p w14:paraId="6BB602C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二、项目概况</w:t>
      </w:r>
    </w:p>
    <w:p w14:paraId="3C5BD4A6">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1、项目名称：</w:t>
      </w:r>
      <w:r>
        <w:rPr>
          <w:rFonts w:hint="eastAsia" w:ascii="宋体" w:hAnsi="宋体" w:eastAsia="宋体" w:cs="宋体"/>
          <w:sz w:val="21"/>
          <w:szCs w:val="21"/>
          <w:lang w:eastAsia="zh-CN"/>
        </w:rPr>
        <w:t>信创基地增补实验室家具采购项目</w:t>
      </w:r>
      <w:r>
        <w:rPr>
          <w:rFonts w:hint="eastAsia" w:ascii="宋体" w:hAnsi="宋体" w:eastAsia="宋体" w:cs="宋体"/>
          <w:sz w:val="21"/>
          <w:szCs w:val="21"/>
        </w:rPr>
        <w:t>。</w:t>
      </w:r>
    </w:p>
    <w:p w14:paraId="515C4695">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2、建设单位：</w:t>
      </w:r>
      <w:r>
        <w:rPr>
          <w:rFonts w:hint="eastAsia" w:ascii="宋体" w:hAnsi="宋体" w:eastAsia="宋体" w:cs="宋体"/>
          <w:sz w:val="21"/>
          <w:szCs w:val="21"/>
          <w:lang w:eastAsia="zh-CN"/>
        </w:rPr>
        <w:t>盐城大数据资产经营管理有限公司</w:t>
      </w:r>
      <w:r>
        <w:rPr>
          <w:rFonts w:hint="eastAsia" w:ascii="宋体" w:hAnsi="宋体" w:eastAsia="宋体" w:cs="宋体"/>
          <w:sz w:val="21"/>
          <w:szCs w:val="21"/>
        </w:rPr>
        <w:t>。</w:t>
      </w:r>
      <w:bookmarkStart w:id="0" w:name="_GoBack"/>
      <w:bookmarkEnd w:id="0"/>
    </w:p>
    <w:p w14:paraId="35C8502B">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3、交货地点：</w:t>
      </w:r>
      <w:r>
        <w:rPr>
          <w:rFonts w:hint="eastAsia" w:ascii="宋体" w:hAnsi="宋体" w:eastAsia="宋体" w:cs="宋体"/>
          <w:sz w:val="21"/>
          <w:szCs w:val="21"/>
          <w:u w:val="single"/>
        </w:rPr>
        <w:t>大数据集团</w:t>
      </w:r>
      <w:r>
        <w:rPr>
          <w:rFonts w:hint="eastAsia" w:ascii="宋体" w:hAnsi="宋体" w:eastAsia="宋体" w:cs="宋体"/>
          <w:sz w:val="21"/>
          <w:szCs w:val="21"/>
        </w:rPr>
        <w:t>。</w:t>
      </w:r>
    </w:p>
    <w:p w14:paraId="5541CF02">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eastAsia="zh-CN"/>
        </w:rPr>
        <w:t>4、项目规模：造价约</w:t>
      </w:r>
      <w:r>
        <w:rPr>
          <w:rFonts w:hint="eastAsia" w:ascii="宋体" w:hAnsi="宋体" w:eastAsia="宋体" w:cs="宋体"/>
          <w:sz w:val="21"/>
          <w:szCs w:val="21"/>
          <w:lang w:val="en-US" w:eastAsia="zh-CN"/>
        </w:rPr>
        <w:t>28</w:t>
      </w:r>
      <w:r>
        <w:rPr>
          <w:rFonts w:hint="eastAsia" w:ascii="宋体" w:hAnsi="宋体" w:eastAsia="宋体" w:cs="宋体"/>
          <w:sz w:val="21"/>
          <w:szCs w:val="21"/>
          <w:lang w:eastAsia="zh-CN"/>
        </w:rPr>
        <w:t>万元。</w:t>
      </w:r>
    </w:p>
    <w:p w14:paraId="0D159FB0">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eastAsia="zh-CN"/>
        </w:rPr>
        <w:t>5、质量要求：</w:t>
      </w:r>
      <w:r>
        <w:rPr>
          <w:rFonts w:hint="eastAsia" w:ascii="宋体" w:hAnsi="宋体" w:eastAsia="宋体" w:cs="宋体"/>
          <w:sz w:val="21"/>
          <w:szCs w:val="21"/>
          <w:lang w:val="en-US" w:eastAsia="zh-CN"/>
        </w:rPr>
        <w:t>国家合格标准，具体满足招标人要求</w:t>
      </w:r>
      <w:r>
        <w:rPr>
          <w:rFonts w:hint="eastAsia" w:ascii="宋体" w:hAnsi="宋体" w:eastAsia="宋体" w:cs="宋体"/>
          <w:sz w:val="21"/>
          <w:szCs w:val="21"/>
          <w:lang w:eastAsia="zh-CN"/>
        </w:rPr>
        <w:t>。质保期：质保三年。</w:t>
      </w:r>
    </w:p>
    <w:p w14:paraId="3D422554">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eastAsia="zh-CN"/>
        </w:rPr>
        <w:t>6、</w:t>
      </w:r>
      <w:r>
        <w:rPr>
          <w:rFonts w:hint="eastAsia" w:ascii="宋体" w:hAnsi="宋体" w:eastAsia="宋体" w:cs="宋体"/>
          <w:sz w:val="21"/>
          <w:szCs w:val="21"/>
          <w:lang w:val="en-US" w:eastAsia="zh-CN"/>
        </w:rPr>
        <w:t>供货期</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20</w:t>
      </w:r>
      <w:r>
        <w:rPr>
          <w:rFonts w:hint="eastAsia" w:ascii="宋体" w:hAnsi="宋体" w:eastAsia="宋体" w:cs="宋体"/>
          <w:sz w:val="21"/>
          <w:szCs w:val="21"/>
          <w:lang w:eastAsia="zh-CN"/>
        </w:rPr>
        <w:t>日历天，具体服从招标人</w:t>
      </w:r>
      <w:r>
        <w:rPr>
          <w:rFonts w:hint="eastAsia" w:ascii="宋体" w:hAnsi="宋体" w:eastAsia="宋体" w:cs="宋体"/>
          <w:sz w:val="21"/>
          <w:szCs w:val="21"/>
          <w:lang w:val="en-US" w:eastAsia="zh-CN"/>
        </w:rPr>
        <w:t>安排</w:t>
      </w:r>
      <w:r>
        <w:rPr>
          <w:rFonts w:hint="eastAsia" w:ascii="宋体" w:hAnsi="宋体" w:eastAsia="宋体" w:cs="宋体"/>
          <w:sz w:val="21"/>
          <w:szCs w:val="21"/>
          <w:lang w:eastAsia="zh-CN"/>
        </w:rPr>
        <w:t>。</w:t>
      </w:r>
    </w:p>
    <w:p w14:paraId="46C1C11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7、招标范围：</w:t>
      </w:r>
      <w:r>
        <w:rPr>
          <w:rFonts w:hint="eastAsia" w:ascii="宋体" w:hAnsi="宋体" w:eastAsia="宋体" w:cs="宋体"/>
          <w:color w:val="000000"/>
          <w:sz w:val="21"/>
          <w:szCs w:val="21"/>
          <w:highlight w:val="none"/>
          <w:lang w:val="en-US" w:eastAsia="zh-CN"/>
        </w:rPr>
        <w:t>采购各类办公家具设备等，</w:t>
      </w:r>
      <w:r>
        <w:rPr>
          <w:rFonts w:hint="eastAsia" w:ascii="宋体" w:hAnsi="宋体" w:eastAsia="宋体" w:cs="宋体"/>
          <w:color w:val="000000"/>
          <w:sz w:val="21"/>
          <w:szCs w:val="21"/>
          <w:highlight w:val="none"/>
        </w:rPr>
        <w:t>具体以招标人提供的工程量清单、招标要求、现场实际情况为准。招标人保留对招标范围内工程量适当调整的权利</w:t>
      </w:r>
      <w:r>
        <w:rPr>
          <w:rFonts w:hint="eastAsia" w:ascii="宋体" w:hAnsi="宋体" w:eastAsia="宋体" w:cs="宋体"/>
          <w:sz w:val="21"/>
          <w:szCs w:val="21"/>
        </w:rPr>
        <w:t>。</w:t>
      </w:r>
    </w:p>
    <w:p w14:paraId="37993876">
      <w:pPr>
        <w:widowControl/>
        <w:spacing w:line="480" w:lineRule="exact"/>
        <w:ind w:firstLine="480"/>
        <w:jc w:val="left"/>
        <w:rPr>
          <w:rFonts w:ascii="宋体" w:hAnsi="宋体" w:eastAsia="宋体" w:cs="宋体"/>
          <w:sz w:val="21"/>
          <w:szCs w:val="21"/>
        </w:rPr>
      </w:pPr>
      <w:r>
        <w:rPr>
          <w:rFonts w:hint="eastAsia" w:ascii="宋体" w:hAnsi="宋体" w:eastAsia="宋体" w:cs="宋体"/>
          <w:sz w:val="21"/>
          <w:szCs w:val="21"/>
        </w:rPr>
        <w:t>三、投标人应当具备的主要资格条件</w:t>
      </w:r>
    </w:p>
    <w:p w14:paraId="58FE5D0C">
      <w:pPr>
        <w:widowControl/>
        <w:spacing w:line="480" w:lineRule="exact"/>
        <w:ind w:firstLine="480"/>
        <w:jc w:val="left"/>
        <w:rPr>
          <w:rFonts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color w:val="000000"/>
          <w:sz w:val="21"/>
          <w:szCs w:val="21"/>
          <w:highlight w:val="none"/>
        </w:rPr>
        <w:t>资质等级及范围：投标人必须是在中国境内注册，且有能力按照招标文件规定的要求完成本次招标项目的独立法人</w:t>
      </w:r>
      <w:r>
        <w:rPr>
          <w:rFonts w:hint="eastAsia" w:ascii="宋体" w:hAnsi="宋体" w:eastAsia="宋体" w:cs="宋体"/>
          <w:color w:val="auto"/>
          <w:sz w:val="21"/>
          <w:szCs w:val="21"/>
          <w:highlight w:val="none"/>
        </w:rPr>
        <w:t>企业</w:t>
      </w:r>
      <w:r>
        <w:rPr>
          <w:rFonts w:hint="eastAsia" w:ascii="宋体" w:hAnsi="宋体" w:eastAsia="宋体" w:cs="宋体"/>
          <w:color w:val="auto"/>
          <w:sz w:val="21"/>
          <w:szCs w:val="21"/>
        </w:rPr>
        <w:t>。</w:t>
      </w:r>
    </w:p>
    <w:p w14:paraId="1C026F1E">
      <w:pPr>
        <w:widowControl/>
        <w:spacing w:line="480" w:lineRule="exact"/>
        <w:ind w:firstLine="480"/>
        <w:jc w:val="left"/>
        <w:rPr>
          <w:rFonts w:ascii="宋体" w:hAnsi="宋体" w:eastAsia="宋体" w:cs="宋体"/>
          <w:sz w:val="21"/>
          <w:szCs w:val="21"/>
        </w:rPr>
      </w:pPr>
      <w:r>
        <w:rPr>
          <w:rFonts w:hint="eastAsia" w:ascii="宋体" w:hAnsi="宋体" w:eastAsia="宋体" w:cs="宋体"/>
          <w:sz w:val="21"/>
          <w:szCs w:val="21"/>
        </w:rPr>
        <w:t>2、本次招标不接受联合体投标。</w:t>
      </w:r>
    </w:p>
    <w:p w14:paraId="14174FC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3、其他要求：</w:t>
      </w:r>
    </w:p>
    <w:p w14:paraId="46AAC805">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3.1财务要求：投标人应具有独立订立合同的能力，未处于财产被接管、冻结和破产状态。</w:t>
      </w:r>
    </w:p>
    <w:p w14:paraId="0B3F088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 xml:space="preserve">3.2业绩要求：无。       </w:t>
      </w:r>
    </w:p>
    <w:p w14:paraId="73599CFC">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3.3信誉要求：投标人不得存在下列情形：</w:t>
      </w:r>
    </w:p>
    <w:p w14:paraId="2FF447F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3.3.1被国家、江苏本省省级有关部门及盐城本市市级、盐南高新区有关部门暂停招投标或市场准入资格且在公示处罚期内的。</w:t>
      </w:r>
    </w:p>
    <w:p w14:paraId="22C31E5E">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3.3.2近3年内有行贿犯罪行为且被记录，或者法定代表人、项目负责人有行贿犯罪记录且自记录之日起未超过5年的。（均自记录之日起至投标截止日止）</w:t>
      </w:r>
    </w:p>
    <w:p w14:paraId="44F4561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 xml:space="preserve">3.3.3被人民法院列为失信被执行人的信息正在被“信用中国”、“信用江苏”网站公布的，投标截止时间前失信被执行人信息已撤销或更正的除外。 </w:t>
      </w:r>
    </w:p>
    <w:p w14:paraId="626F1CE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3.3.4投标人作为失信联合惩戒对象被采取依法限制参与建设工程招投标惩戒措施的，且被有关部门推送在“信用中国”、“信用江苏”、“信用盐城”相关网站公示且在有效期内的。</w:t>
      </w:r>
    </w:p>
    <w:p w14:paraId="062B67B8">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7A0E3C72">
      <w:pPr>
        <w:widowControl/>
        <w:spacing w:line="480" w:lineRule="exact"/>
        <w:ind w:firstLine="480"/>
        <w:rPr>
          <w:rFonts w:ascii="Calibri" w:hAnsi="Calibri" w:eastAsia="宋体"/>
          <w:sz w:val="21"/>
          <w:szCs w:val="24"/>
        </w:rPr>
      </w:pPr>
      <w:r>
        <w:rPr>
          <w:rFonts w:hint="eastAsia" w:ascii="Calibri" w:hAnsi="Calibri" w:eastAsia="宋体"/>
          <w:sz w:val="21"/>
          <w:szCs w:val="24"/>
        </w:rPr>
        <w:t>3.4.标申请人授权委托人及投标承诺的项目部人员均为本单位的正式职工，投标时提供</w:t>
      </w:r>
      <w:r>
        <w:rPr>
          <w:rFonts w:hint="eastAsia" w:ascii="Calibri" w:hAnsi="Calibri" w:eastAsia="宋体"/>
          <w:color w:val="FF0000"/>
          <w:sz w:val="21"/>
          <w:szCs w:val="24"/>
        </w:rPr>
        <w:t>项目负责人</w:t>
      </w:r>
      <w:r>
        <w:rPr>
          <w:rFonts w:hint="eastAsia" w:ascii="Calibri" w:hAnsi="Calibri" w:eastAsia="宋体"/>
          <w:sz w:val="21"/>
          <w:szCs w:val="24"/>
        </w:rPr>
        <w:t>从2024年</w:t>
      </w:r>
      <w:r>
        <w:rPr>
          <w:rFonts w:hint="eastAsia" w:ascii="Calibri" w:hAnsi="Calibri" w:eastAsia="宋体"/>
          <w:sz w:val="21"/>
          <w:szCs w:val="24"/>
          <w:lang w:val="en-US" w:eastAsia="zh-CN"/>
        </w:rPr>
        <w:t>8</w:t>
      </w:r>
      <w:r>
        <w:rPr>
          <w:rFonts w:hint="eastAsia" w:ascii="Calibri" w:hAnsi="Calibri" w:eastAsia="宋体"/>
          <w:sz w:val="21"/>
          <w:szCs w:val="24"/>
        </w:rPr>
        <w:t>月开始至投标截止之日当月至少1个月在本单位缴纳养老保险缴费记录证明。（退休人员提供在本单位相关证明。）除项目负责人的其他项目部人员及授权委托人投标时无需提供缴费记录证明，中标候选人公示前、异议（投诉）提出时相关单位需提供缴费记录证明原件给招标人核验。</w:t>
      </w:r>
    </w:p>
    <w:p w14:paraId="17193EB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四、招标文件的领取与递交</w:t>
      </w:r>
    </w:p>
    <w:p w14:paraId="5F26558C">
      <w:pPr>
        <w:widowControl/>
        <w:spacing w:line="480" w:lineRule="exact"/>
        <w:ind w:firstLine="480"/>
        <w:rPr>
          <w:rFonts w:ascii="Calibri" w:hAnsi="Calibri" w:eastAsia="宋体"/>
          <w:sz w:val="21"/>
          <w:szCs w:val="24"/>
        </w:rPr>
      </w:pPr>
      <w:r>
        <w:rPr>
          <w:rFonts w:hint="eastAsia" w:ascii="Calibri" w:hAnsi="Calibri" w:eastAsia="宋体"/>
          <w:sz w:val="21"/>
          <w:szCs w:val="24"/>
        </w:rPr>
        <w:t>1、本招标公告发布后凡具备上述主要资格条件，并自愿参加本项目投标的申请人于</w:t>
      </w:r>
      <w:r>
        <w:rPr>
          <w:rFonts w:hint="eastAsia" w:ascii="Calibri" w:hAnsi="Calibri" w:eastAsia="宋体"/>
          <w:b/>
          <w:bCs/>
          <w:sz w:val="21"/>
          <w:szCs w:val="24"/>
        </w:rPr>
        <w:t>2024</w:t>
      </w:r>
      <w:r>
        <w:rPr>
          <w:rFonts w:hint="eastAsia" w:ascii="Calibri" w:hAnsi="Calibri" w:eastAsia="宋体"/>
          <w:b/>
          <w:bCs/>
          <w:sz w:val="21"/>
          <w:szCs w:val="24"/>
          <w:highlight w:val="none"/>
        </w:rPr>
        <w:t>年</w:t>
      </w:r>
      <w:r>
        <w:rPr>
          <w:rFonts w:hint="eastAsia" w:ascii="Calibri" w:hAnsi="Calibri" w:eastAsia="宋体"/>
          <w:b/>
          <w:bCs/>
          <w:sz w:val="21"/>
          <w:szCs w:val="24"/>
          <w:highlight w:val="none"/>
          <w:u w:val="single"/>
          <w:lang w:val="en-US" w:eastAsia="zh-CN"/>
        </w:rPr>
        <w:t>12</w:t>
      </w:r>
      <w:r>
        <w:rPr>
          <w:rFonts w:hint="eastAsia" w:ascii="Calibri" w:hAnsi="Calibri" w:eastAsia="宋体"/>
          <w:b/>
          <w:bCs/>
          <w:sz w:val="21"/>
          <w:szCs w:val="24"/>
          <w:highlight w:val="none"/>
        </w:rPr>
        <w:t>月</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u w:val="single"/>
          <w:lang w:val="en-US" w:eastAsia="zh-CN"/>
        </w:rPr>
        <w:t>4</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rPr>
        <w:t>日</w:t>
      </w:r>
      <w:r>
        <w:rPr>
          <w:rFonts w:hint="eastAsia" w:ascii="Calibri" w:hAnsi="Calibri" w:eastAsia="宋体"/>
          <w:b/>
          <w:bCs/>
          <w:sz w:val="21"/>
          <w:szCs w:val="24"/>
          <w:highlight w:val="none"/>
          <w:lang w:val="en-US" w:eastAsia="zh-CN"/>
        </w:rPr>
        <w:t>8：30</w:t>
      </w:r>
      <w:r>
        <w:rPr>
          <w:rFonts w:hint="eastAsia" w:ascii="Calibri" w:hAnsi="Calibri" w:eastAsia="宋体"/>
          <w:b/>
          <w:bCs/>
          <w:sz w:val="21"/>
          <w:szCs w:val="24"/>
          <w:highlight w:val="none"/>
        </w:rPr>
        <w:t>至2024年</w:t>
      </w:r>
      <w:r>
        <w:rPr>
          <w:rFonts w:hint="eastAsia" w:ascii="Calibri" w:hAnsi="Calibri" w:eastAsia="宋体"/>
          <w:b/>
          <w:bCs/>
          <w:sz w:val="21"/>
          <w:szCs w:val="24"/>
          <w:highlight w:val="none"/>
          <w:lang w:val="en-US" w:eastAsia="zh-CN"/>
        </w:rPr>
        <w:t>12</w:t>
      </w:r>
      <w:r>
        <w:rPr>
          <w:rFonts w:hint="eastAsia" w:ascii="Calibri" w:hAnsi="Calibri" w:eastAsia="宋体"/>
          <w:b/>
          <w:bCs/>
          <w:sz w:val="21"/>
          <w:szCs w:val="24"/>
          <w:highlight w:val="none"/>
        </w:rPr>
        <w:t>月</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u w:val="single"/>
          <w:lang w:val="en-US" w:eastAsia="zh-CN"/>
        </w:rPr>
        <w:t>8</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rPr>
        <w:t>日</w:t>
      </w:r>
      <w:r>
        <w:rPr>
          <w:rFonts w:hint="eastAsia" w:ascii="Calibri" w:hAnsi="Calibri" w:eastAsia="宋体"/>
          <w:b/>
          <w:bCs/>
          <w:sz w:val="21"/>
          <w:szCs w:val="24"/>
          <w:highlight w:val="none"/>
          <w:lang w:val="en-US" w:eastAsia="zh-CN"/>
        </w:rPr>
        <w:t>18：00</w:t>
      </w:r>
      <w:r>
        <w:rPr>
          <w:rFonts w:hint="eastAsia" w:ascii="Calibri" w:hAnsi="Calibri" w:eastAsia="宋体"/>
          <w:b/>
          <w:bCs/>
          <w:sz w:val="21"/>
          <w:szCs w:val="24"/>
          <w:highlight w:val="none"/>
        </w:rPr>
        <w:t>时</w:t>
      </w:r>
      <w:r>
        <w:rPr>
          <w:rFonts w:hint="eastAsia" w:ascii="Calibri" w:hAnsi="Calibri" w:eastAsia="宋体"/>
          <w:sz w:val="21"/>
          <w:szCs w:val="24"/>
          <w:highlight w:val="none"/>
        </w:rPr>
        <w:t>前</w:t>
      </w:r>
      <w:r>
        <w:rPr>
          <w:rFonts w:hint="eastAsia" w:ascii="Calibri" w:hAnsi="Calibri" w:eastAsia="宋体"/>
          <w:sz w:val="21"/>
          <w:szCs w:val="24"/>
        </w:rPr>
        <w:t>，携带单位介绍信或授权委托书至江苏仁禾中衡工程咨询房地产估价有限公司（盐城市人民南路国际创投中心南四楼3A06室）报名购买招标文件。</w:t>
      </w:r>
    </w:p>
    <w:p w14:paraId="33D49677">
      <w:pPr>
        <w:widowControl/>
        <w:spacing w:line="480" w:lineRule="exact"/>
        <w:ind w:firstLine="480"/>
        <w:rPr>
          <w:rFonts w:hint="eastAsia" w:ascii="Calibri" w:hAnsi="Calibri" w:eastAsia="宋体"/>
          <w:sz w:val="21"/>
          <w:szCs w:val="24"/>
          <w:highlight w:val="none"/>
        </w:rPr>
      </w:pPr>
      <w:r>
        <w:rPr>
          <w:rFonts w:hint="eastAsia" w:ascii="Calibri" w:hAnsi="Calibri" w:eastAsia="宋体"/>
          <w:sz w:val="21"/>
          <w:szCs w:val="24"/>
        </w:rPr>
        <w:t>2、投标文件的递交截止时间（开标时间）</w:t>
      </w:r>
      <w:r>
        <w:rPr>
          <w:rFonts w:hint="eastAsia" w:ascii="Calibri" w:hAnsi="Calibri" w:eastAsia="宋体"/>
          <w:sz w:val="21"/>
          <w:szCs w:val="24"/>
          <w:highlight w:val="none"/>
        </w:rPr>
        <w:t>：</w:t>
      </w:r>
      <w:r>
        <w:rPr>
          <w:rFonts w:hint="eastAsia" w:ascii="Calibri" w:hAnsi="Calibri" w:eastAsia="宋体"/>
          <w:b/>
          <w:bCs/>
          <w:sz w:val="21"/>
          <w:szCs w:val="24"/>
          <w:highlight w:val="none"/>
        </w:rPr>
        <w:t>2024年</w:t>
      </w:r>
      <w:r>
        <w:rPr>
          <w:rFonts w:hint="eastAsia" w:ascii="Calibri" w:hAnsi="Calibri" w:eastAsia="宋体"/>
          <w:b/>
          <w:bCs/>
          <w:sz w:val="21"/>
          <w:szCs w:val="24"/>
          <w:highlight w:val="none"/>
          <w:lang w:val="en-US" w:eastAsia="zh-CN"/>
        </w:rPr>
        <w:t>12</w:t>
      </w:r>
      <w:r>
        <w:rPr>
          <w:rFonts w:hint="eastAsia" w:ascii="Calibri" w:hAnsi="Calibri" w:eastAsia="宋体"/>
          <w:b/>
          <w:bCs/>
          <w:sz w:val="21"/>
          <w:szCs w:val="24"/>
          <w:highlight w:val="none"/>
        </w:rPr>
        <w:t>月</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u w:val="single"/>
          <w:lang w:val="en-US" w:eastAsia="zh-CN"/>
        </w:rPr>
        <w:t>9</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rPr>
        <w:t>日</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u w:val="single"/>
          <w:lang w:val="en-US" w:eastAsia="zh-CN"/>
        </w:rPr>
        <w:t>9</w:t>
      </w:r>
      <w:r>
        <w:rPr>
          <w:rFonts w:hint="eastAsia" w:ascii="Calibri" w:hAnsi="Calibri" w:eastAsia="宋体"/>
          <w:b/>
          <w:bCs/>
          <w:sz w:val="21"/>
          <w:szCs w:val="24"/>
          <w:highlight w:val="none"/>
          <w:u w:val="single"/>
        </w:rPr>
        <w:t xml:space="preserve">  </w:t>
      </w:r>
      <w:r>
        <w:rPr>
          <w:rFonts w:hint="eastAsia" w:ascii="Calibri" w:hAnsi="Calibri" w:eastAsia="宋体"/>
          <w:b/>
          <w:bCs/>
          <w:sz w:val="21"/>
          <w:szCs w:val="24"/>
          <w:highlight w:val="none"/>
        </w:rPr>
        <w:t>：00时</w:t>
      </w:r>
      <w:r>
        <w:rPr>
          <w:rFonts w:hint="eastAsia" w:ascii="Calibri" w:hAnsi="Calibri" w:eastAsia="宋体"/>
          <w:sz w:val="21"/>
          <w:szCs w:val="24"/>
          <w:highlight w:val="none"/>
        </w:rPr>
        <w:t>。</w:t>
      </w:r>
    </w:p>
    <w:p w14:paraId="0D7F8B43">
      <w:pPr>
        <w:widowControl/>
        <w:spacing w:line="480" w:lineRule="exact"/>
        <w:ind w:firstLine="480"/>
        <w:rPr>
          <w:rFonts w:ascii="Calibri" w:hAnsi="Calibri" w:eastAsia="宋体"/>
          <w:sz w:val="21"/>
          <w:szCs w:val="24"/>
        </w:rPr>
      </w:pPr>
      <w:r>
        <w:rPr>
          <w:rFonts w:hint="eastAsia" w:ascii="Calibri" w:hAnsi="Calibri" w:eastAsia="宋体"/>
          <w:sz w:val="21"/>
          <w:szCs w:val="24"/>
        </w:rPr>
        <w:t>3、投标文件的递交地点（开标地点）：学海路科创大厦南楼1</w:t>
      </w:r>
      <w:r>
        <w:rPr>
          <w:rFonts w:hint="eastAsia" w:ascii="Calibri" w:hAnsi="Calibri" w:eastAsia="宋体"/>
          <w:sz w:val="21"/>
          <w:szCs w:val="24"/>
          <w:lang w:val="en-US" w:eastAsia="zh-CN"/>
        </w:rPr>
        <w:t>1</w:t>
      </w:r>
      <w:r>
        <w:rPr>
          <w:rFonts w:hint="eastAsia" w:ascii="Calibri" w:hAnsi="Calibri" w:eastAsia="宋体"/>
          <w:sz w:val="21"/>
          <w:szCs w:val="24"/>
        </w:rPr>
        <w:t>楼</w:t>
      </w:r>
      <w:r>
        <w:rPr>
          <w:rFonts w:hint="eastAsia" w:ascii="Calibri" w:hAnsi="Calibri" w:eastAsia="宋体"/>
          <w:sz w:val="21"/>
          <w:szCs w:val="24"/>
          <w:lang w:val="en-US" w:eastAsia="zh-CN"/>
        </w:rPr>
        <w:t>开标</w:t>
      </w:r>
      <w:r>
        <w:rPr>
          <w:rFonts w:hint="eastAsia" w:ascii="Calibri" w:hAnsi="Calibri" w:eastAsia="宋体"/>
          <w:sz w:val="21"/>
          <w:szCs w:val="24"/>
        </w:rPr>
        <w:t>室。</w:t>
      </w:r>
    </w:p>
    <w:p w14:paraId="03D0896B">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五、投标保证金的缴纳与退还</w:t>
      </w:r>
    </w:p>
    <w:p w14:paraId="6A1D788D">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5.1投标人在递交投标文件的同时，应按规定的金额、形式递交投标保证金，并作为其投标文件的组成部分。联合体投标的，其投标保证金有牵头人递交，并应符合有关规定。</w:t>
      </w:r>
    </w:p>
    <w:p w14:paraId="6D331F49">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5.2本项目投标保证金数额：</w:t>
      </w:r>
      <w:r>
        <w:rPr>
          <w:rFonts w:hint="eastAsia" w:ascii="宋体" w:hAnsi="宋体" w:eastAsia="宋体" w:cs="宋体"/>
          <w:b/>
          <w:bCs/>
          <w:sz w:val="21"/>
          <w:szCs w:val="21"/>
          <w:u w:val="single"/>
        </w:rPr>
        <w:t>伍仟元</w:t>
      </w:r>
      <w:r>
        <w:rPr>
          <w:rFonts w:hint="eastAsia" w:ascii="宋体" w:hAnsi="宋体" w:eastAsia="宋体" w:cs="宋体"/>
          <w:sz w:val="21"/>
          <w:szCs w:val="21"/>
        </w:rPr>
        <w:t>。投标人须在本项目开标前办理投标保证金缴纳手续，投标保证金有效期与投标有效期一致。各投标人必须以企业法人基本存款账户办理保证金缴纳手续，否则不予接受。</w:t>
      </w:r>
    </w:p>
    <w:p w14:paraId="2118670A">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5.2.1投标保证金可采用现金、电子保函（保单）形式，投标人根据企业实际情况合理选择投标保证金的缴纳形式，不同缴纳形式具有同等法律效力。具体缴纳方式为：</w:t>
      </w:r>
    </w:p>
    <w:p w14:paraId="5F47E030">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5.2.1.1</w:t>
      </w:r>
      <w:r>
        <w:rPr>
          <w:rFonts w:hint="eastAsia" w:ascii="宋体" w:hAnsi="宋体" w:eastAsia="宋体" w:cs="宋体"/>
          <w:b/>
          <w:sz w:val="21"/>
          <w:szCs w:val="21"/>
        </w:rPr>
        <w:t>现</w:t>
      </w:r>
      <w:r>
        <w:rPr>
          <w:rFonts w:hint="eastAsia" w:ascii="宋体" w:hAnsi="宋体" w:eastAsia="宋体" w:cs="宋体"/>
          <w:b/>
          <w:color w:val="000000"/>
          <w:kern w:val="0"/>
          <w:sz w:val="21"/>
          <w:szCs w:val="21"/>
        </w:rPr>
        <w:t>金缴纳方式</w:t>
      </w:r>
      <w:r>
        <w:rPr>
          <w:rFonts w:hint="eastAsia" w:ascii="宋体" w:hAnsi="宋体" w:eastAsia="宋体" w:cs="宋体"/>
          <w:color w:val="000000"/>
          <w:kern w:val="0"/>
          <w:sz w:val="21"/>
          <w:szCs w:val="21"/>
        </w:rPr>
        <w:t>：采用转账、银行汇票、本票等形式。投标人须在投标截止时间前将投标保证金从投标人本单位的基</w:t>
      </w:r>
      <w:r>
        <w:rPr>
          <w:rFonts w:hint="eastAsia" w:ascii="宋体" w:hAnsi="宋体" w:eastAsia="宋体" w:cs="宋体"/>
          <w:color w:val="000000"/>
          <w:kern w:val="0"/>
          <w:sz w:val="21"/>
          <w:szCs w:val="21"/>
          <w:highlight w:val="none"/>
        </w:rPr>
        <w:t>本账户上汇出（以投标人汇出资金的银行日期为准，且保证金汇出单位必须与投标人名称一致）。</w:t>
      </w:r>
      <w:r>
        <w:rPr>
          <w:rFonts w:hint="eastAsia" w:ascii="宋体" w:hAnsi="宋体" w:eastAsia="宋体" w:cs="宋体"/>
          <w:color w:val="000000"/>
          <w:kern w:val="0"/>
          <w:sz w:val="21"/>
          <w:szCs w:val="21"/>
          <w:highlight w:val="none"/>
          <w:u w:val="single"/>
        </w:rPr>
        <w:t>收款人名称：</w:t>
      </w:r>
      <w:r>
        <w:rPr>
          <w:rFonts w:hint="eastAsia" w:ascii="宋体" w:hAnsi="宋体" w:eastAsia="宋体" w:cs="宋体"/>
          <w:color w:val="000000"/>
          <w:kern w:val="0"/>
          <w:sz w:val="21"/>
          <w:szCs w:val="21"/>
          <w:highlight w:val="none"/>
          <w:u w:val="single"/>
          <w:lang w:eastAsia="zh-CN"/>
        </w:rPr>
        <w:t>盐城大数据资产经营管理有限公司</w:t>
      </w:r>
      <w:r>
        <w:rPr>
          <w:rFonts w:hint="eastAsia" w:ascii="宋体" w:hAnsi="宋体" w:eastAsia="宋体" w:cs="宋体"/>
          <w:color w:val="000000"/>
          <w:kern w:val="0"/>
          <w:sz w:val="21"/>
          <w:szCs w:val="21"/>
          <w:highlight w:val="none"/>
          <w:u w:val="single"/>
        </w:rPr>
        <w:t>，开户行：</w:t>
      </w:r>
      <w:r>
        <w:rPr>
          <w:rFonts w:hint="eastAsia" w:ascii="宋体" w:hAnsi="宋体" w:eastAsia="宋体" w:cs="宋体"/>
          <w:color w:val="000000"/>
          <w:kern w:val="0"/>
          <w:sz w:val="21"/>
          <w:szCs w:val="21"/>
          <w:highlight w:val="none"/>
          <w:u w:val="single"/>
          <w:lang w:val="en-US" w:eastAsia="zh-CN"/>
        </w:rPr>
        <w:t>工行通榆支行，</w:t>
      </w:r>
      <w:r>
        <w:rPr>
          <w:rFonts w:hint="eastAsia" w:ascii="宋体" w:hAnsi="宋体" w:eastAsia="宋体" w:cs="宋体"/>
          <w:color w:val="000000"/>
          <w:kern w:val="0"/>
          <w:sz w:val="21"/>
          <w:szCs w:val="21"/>
          <w:highlight w:val="none"/>
          <w:u w:val="single"/>
        </w:rPr>
        <w:t>开户行账号：</w:t>
      </w:r>
      <w:r>
        <w:rPr>
          <w:rFonts w:hint="eastAsia" w:ascii="宋体" w:hAnsi="宋体" w:eastAsia="宋体" w:cs="宋体"/>
          <w:color w:val="000000"/>
          <w:kern w:val="0"/>
          <w:sz w:val="21"/>
          <w:szCs w:val="21"/>
          <w:highlight w:val="none"/>
          <w:u w:val="single"/>
          <w:lang w:val="en-US" w:eastAsia="zh-CN"/>
        </w:rPr>
        <w:t>1109661519200016930</w:t>
      </w:r>
      <w:r>
        <w:rPr>
          <w:rFonts w:hint="eastAsia" w:ascii="宋体" w:hAnsi="宋体" w:eastAsia="宋体" w:cs="宋体"/>
          <w:color w:val="000000"/>
          <w:kern w:val="0"/>
          <w:sz w:val="21"/>
          <w:szCs w:val="21"/>
          <w:highlight w:val="none"/>
        </w:rPr>
        <w:t>。投标截止时间之前，各投标人将加盖投标单位公章的转账截图（转账须备注项目名称）或银行</w:t>
      </w:r>
      <w:r>
        <w:rPr>
          <w:rFonts w:hint="eastAsia" w:ascii="宋体" w:hAnsi="宋体" w:eastAsia="宋体" w:cs="宋体"/>
          <w:color w:val="000000"/>
          <w:kern w:val="0"/>
          <w:sz w:val="21"/>
          <w:szCs w:val="21"/>
        </w:rPr>
        <w:t>汇票或银行本票原件及加盖投标单位公章的基本户开户许可证带至开标现场交工作人员核验。未按招标文件约定要求缴纳投标保证金，其投标文件不予接收。</w:t>
      </w:r>
    </w:p>
    <w:p w14:paraId="08DB33FA">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5.2.1.2</w:t>
      </w:r>
      <w:r>
        <w:rPr>
          <w:rFonts w:hint="eastAsia" w:ascii="宋体" w:hAnsi="宋体" w:eastAsia="宋体" w:cs="宋体"/>
          <w:b/>
          <w:color w:val="000000"/>
          <w:kern w:val="0"/>
          <w:sz w:val="21"/>
          <w:szCs w:val="21"/>
        </w:rPr>
        <w:t>采用银行保函缴纳</w:t>
      </w:r>
      <w:r>
        <w:rPr>
          <w:rFonts w:hint="eastAsia" w:ascii="宋体" w:hAnsi="宋体" w:eastAsia="宋体" w:cs="宋体"/>
          <w:color w:val="000000"/>
          <w:kern w:val="0"/>
          <w:sz w:val="21"/>
          <w:szCs w:val="21"/>
        </w:rPr>
        <w:t>：投标人须在投标截止时间前将投标人基本账户开户行出具的银行保函原件带至开标现场交工作人员核验。</w:t>
      </w:r>
    </w:p>
    <w:p w14:paraId="026CC06D">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5.2.1.3</w:t>
      </w:r>
      <w:r>
        <w:rPr>
          <w:rFonts w:hint="eastAsia" w:ascii="宋体" w:hAnsi="宋体" w:eastAsia="宋体" w:cs="宋体"/>
          <w:b/>
          <w:sz w:val="21"/>
          <w:szCs w:val="21"/>
        </w:rPr>
        <w:t>对信用服务机构依据《江苏省企业信用评价指引（试行）》（苏信用办〔2021 ] 17号）评定为 AA 级及以上的投标人免交投标保证金</w:t>
      </w:r>
      <w:r>
        <w:rPr>
          <w:rFonts w:hint="eastAsia" w:ascii="宋体" w:hAnsi="宋体" w:eastAsia="宋体" w:cs="宋体"/>
          <w:sz w:val="21"/>
          <w:szCs w:val="21"/>
        </w:rPr>
        <w:t>，投标时需提供经市发展改革委（市信用办）备案的第三方信用报告原件彩色扫描件，且信用报告概述页等内容通过“信用盐城网”可查证。</w:t>
      </w:r>
    </w:p>
    <w:p w14:paraId="7FA598D7">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5.2.1.4</w:t>
      </w:r>
      <w:r>
        <w:rPr>
          <w:rFonts w:ascii="宋体" w:hAnsi="宋体" w:eastAsia="宋体" w:cs="宋体"/>
          <w:b/>
          <w:sz w:val="21"/>
          <w:szCs w:val="21"/>
        </w:rPr>
        <w:t>信用承诺替代投标保证金</w:t>
      </w:r>
      <w:r>
        <w:rPr>
          <w:rFonts w:ascii="宋体" w:hAnsi="宋体" w:eastAsia="宋体" w:cs="宋体"/>
          <w:sz w:val="21"/>
          <w:szCs w:val="21"/>
        </w:rPr>
        <w:t>。</w:t>
      </w:r>
      <w:r>
        <w:rPr>
          <w:rFonts w:hint="eastAsia" w:ascii="宋体" w:hAnsi="宋体" w:eastAsia="宋体" w:cs="宋体"/>
          <w:sz w:val="21"/>
          <w:szCs w:val="21"/>
        </w:rPr>
        <w:t>本项目接受投标人以“投标保证金信用承诺函”方式替代投标保证金，投标保证金信用承诺函作为投标文件组成部分一并提交招标人，除法定例外情况，在有效期内(提交投标文件截止时间后到招标文件规定投标有效期终止前)不得撤销撤回(投标保证金信用承诺函参照附件A)。</w:t>
      </w:r>
    </w:p>
    <w:p w14:paraId="59E3A552">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采用投标保证金信用承诺替代投标保证金的投标人需信用良好，其中以联合体形式投标并采用信用承诺函替代投标保证金的，联合体各成员均须出具投标保证金信用承诺函。</w:t>
      </w:r>
    </w:p>
    <w:p w14:paraId="1BA13551">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0D3FB2FF">
      <w:pPr>
        <w:spacing w:line="520" w:lineRule="exact"/>
        <w:ind w:firstLine="420" w:firstLineChars="200"/>
        <w:rPr>
          <w:rFonts w:ascii="宋体" w:hAnsi="宋体" w:eastAsia="宋体" w:cs="宋体"/>
          <w:sz w:val="21"/>
          <w:szCs w:val="21"/>
        </w:rPr>
      </w:pPr>
      <w:r>
        <w:rPr>
          <w:rFonts w:hint="eastAsia" w:ascii="宋体" w:hAnsi="宋体" w:eastAsia="宋体" w:cs="宋体"/>
          <w:sz w:val="21"/>
          <w:szCs w:val="21"/>
        </w:rPr>
        <w:t xml:space="preserve">采用信用承诺替代投标保证金的，不免除投标人违法、违规、违约责任的义务。 </w:t>
      </w:r>
    </w:p>
    <w:p w14:paraId="23EB3A54">
      <w:pPr>
        <w:spacing w:line="520" w:lineRule="exact"/>
        <w:ind w:firstLine="422" w:firstLineChars="200"/>
        <w:rPr>
          <w:rFonts w:ascii="宋体" w:hAnsi="宋体" w:eastAsia="宋体" w:cs="宋体"/>
          <w:b/>
          <w:bCs/>
          <w:sz w:val="21"/>
          <w:szCs w:val="21"/>
        </w:rPr>
      </w:pPr>
      <w:r>
        <w:rPr>
          <w:rFonts w:hint="eastAsia" w:ascii="宋体" w:hAnsi="宋体" w:eastAsia="宋体" w:cs="宋体"/>
          <w:b/>
          <w:bCs/>
          <w:sz w:val="21"/>
          <w:szCs w:val="21"/>
        </w:rPr>
        <w:t>未按上述要求交纳投标保证金的，经评标委员会认定后，其投标文件为无效投标文件。</w:t>
      </w:r>
    </w:p>
    <w:p w14:paraId="174C20A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5.3投标保证金的退还</w:t>
      </w:r>
    </w:p>
    <w:p w14:paraId="1DFB160C">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5.3.1有投诉(异议)的项目，所有投标人投标保证金一律暂不退还。</w:t>
      </w:r>
    </w:p>
    <w:p w14:paraId="4FAF3126">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因恶意投诉（异议）的、利用保密信息投诉的及投诉（异议）不实的投诉行为被通报的，自通报之日起6个月内，投诉（异议）人所有投标项目的投标保证金在招标项目签订合同后予以退还。</w:t>
      </w:r>
    </w:p>
    <w:p w14:paraId="21A7B361">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投诉人故意捏造事实、伪造证明材料或者以非法手段取得证明材料进行投诉的给他人造成的损失的，投诉人依法承担赔偿责任。招标人直接扣减相应数额，确认应予退还保证金的数额，并经监管机关存档后，办理退款手续。</w:t>
      </w:r>
    </w:p>
    <w:p w14:paraId="4C8D2238">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5.3.2保证金退还时间：</w:t>
      </w:r>
    </w:p>
    <w:p w14:paraId="492B3360">
      <w:pPr>
        <w:spacing w:line="500" w:lineRule="exact"/>
        <w:ind w:firstLine="420" w:firstLineChars="200"/>
        <w:contextualSpacing/>
        <w:rPr>
          <w:rFonts w:hint="eastAsia" w:ascii="宋体" w:hAnsi="宋体" w:eastAsia="宋体" w:cs="宋体"/>
          <w:sz w:val="21"/>
          <w:szCs w:val="21"/>
          <w:lang w:eastAsia="zh-CN"/>
        </w:rPr>
      </w:pPr>
      <w:r>
        <w:rPr>
          <w:rFonts w:hint="eastAsia" w:ascii="宋体" w:hAnsi="宋体" w:eastAsia="宋体" w:cs="宋体"/>
          <w:sz w:val="21"/>
          <w:szCs w:val="21"/>
        </w:rPr>
        <w:t>如无投诉等特殊情况，中标结果公示期满后7个工作日内，退还非中标人的投标保证金。中标人投标保证金在履约保证金缴纳后退还。</w:t>
      </w:r>
    </w:p>
    <w:p w14:paraId="6477C1C9">
      <w:pPr>
        <w:spacing w:line="500" w:lineRule="exact"/>
        <w:ind w:firstLine="420" w:firstLineChars="200"/>
        <w:contextualSpacing/>
        <w:rPr>
          <w:rFonts w:ascii="宋体" w:hAnsi="宋体" w:eastAsia="宋体" w:cs="宋体"/>
          <w:sz w:val="21"/>
          <w:szCs w:val="21"/>
        </w:rPr>
      </w:pPr>
      <w:r>
        <w:rPr>
          <w:rFonts w:hint="eastAsia" w:ascii="宋体" w:hAnsi="宋体" w:eastAsia="宋体" w:cs="宋体"/>
          <w:sz w:val="21"/>
          <w:szCs w:val="21"/>
        </w:rPr>
        <w:t xml:space="preserve"> 备注：以现金形式缴纳的投标保证金，向中标人和未中标的投标人退还投标保证金时同时退还银行同期存款利息。以保函（保单）形式缴纳的保证金按相关协议执行，无需办理退款手续。</w:t>
      </w:r>
    </w:p>
    <w:p w14:paraId="51B3DD59">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5.3.3有下列情形之一的，投标保证金将不予退还：</w:t>
      </w:r>
    </w:p>
    <w:p w14:paraId="24D2BE1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①投标人在规定的投标有效期内撤销或修改其投标文件的；</w:t>
      </w:r>
    </w:p>
    <w:p w14:paraId="2DDCAC5B">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②中标人无正当理由拒绝签订合同；</w:t>
      </w:r>
    </w:p>
    <w:p w14:paraId="0A9BE45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③中标人弄虚作假骗取中标，其他投标虚假、恶意投诉或反映，干扰招投标活动的；</w:t>
      </w:r>
    </w:p>
    <w:p w14:paraId="44166419">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④中标项目经理被反映或投诉有在建工程，投标人及项目经理业绩为虚假业绩，并经查属实的。</w:t>
      </w:r>
    </w:p>
    <w:p w14:paraId="3D5FC28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4A0E015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六、本项目评标、定标办法采用“综合评估法”，具体内容详见招标文件。</w:t>
      </w:r>
    </w:p>
    <w:p w14:paraId="668C3413">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七、投标单位提供虚假信息的，经查实作为失信（不良行为）行为在江苏省建设工程招标网、江苏省盐南高新区公共资源交易电子化服务平台上公告一年，在公告期间，盐南高新区内其它项目的招标人可以据此不接受其投标。</w:t>
      </w:r>
    </w:p>
    <w:p w14:paraId="6D714BD2">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八、本工程严禁挂靠、转包，一经核实挂靠、转包的，将被取消投标、中标资格，并按相关规定进行处罚，直至建议有关部门吊销资质证书。</w:t>
      </w:r>
    </w:p>
    <w:p w14:paraId="0E07B4A7">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九、联系方式</w:t>
      </w:r>
    </w:p>
    <w:p w14:paraId="62EFD4B0">
      <w:pPr>
        <w:widowControl/>
        <w:spacing w:line="480" w:lineRule="exact"/>
        <w:ind w:firstLine="480"/>
        <w:rPr>
          <w:rFonts w:hint="eastAsia" w:ascii="宋体" w:hAnsi="宋体" w:eastAsia="宋体" w:cs="宋体"/>
          <w:sz w:val="21"/>
          <w:szCs w:val="21"/>
          <w:lang w:eastAsia="zh-CN"/>
        </w:rPr>
      </w:pPr>
      <w:r>
        <w:rPr>
          <w:rFonts w:hint="eastAsia" w:ascii="宋体" w:hAnsi="宋体" w:eastAsia="宋体" w:cs="宋体"/>
          <w:sz w:val="21"/>
          <w:szCs w:val="21"/>
        </w:rPr>
        <w:t>招标人：</w:t>
      </w:r>
      <w:r>
        <w:rPr>
          <w:rFonts w:hint="eastAsia" w:ascii="宋体" w:hAnsi="宋体" w:eastAsia="宋体" w:cs="宋体"/>
          <w:sz w:val="21"/>
          <w:szCs w:val="21"/>
          <w:lang w:eastAsia="zh-CN"/>
        </w:rPr>
        <w:t>盐城大数据资产经营管理有限公司</w:t>
      </w:r>
    </w:p>
    <w:p w14:paraId="599351B0">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rPr>
        <w:t xml:space="preserve">联系人： </w:t>
      </w:r>
      <w:r>
        <w:rPr>
          <w:rFonts w:hint="eastAsia" w:ascii="宋体" w:hAnsi="宋体" w:eastAsia="宋体" w:cs="宋体"/>
          <w:sz w:val="21"/>
          <w:szCs w:val="21"/>
          <w:lang w:val="en-US" w:eastAsia="zh-CN"/>
        </w:rPr>
        <w:t>刘鑫</w:t>
      </w:r>
    </w:p>
    <w:p w14:paraId="3C63D0AF">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联系电话：18</w:t>
      </w:r>
      <w:r>
        <w:rPr>
          <w:rFonts w:hint="eastAsia" w:ascii="宋体" w:hAnsi="宋体" w:eastAsia="宋体" w:cs="宋体"/>
          <w:sz w:val="21"/>
          <w:szCs w:val="21"/>
          <w:lang w:val="en-US" w:eastAsia="zh-CN"/>
        </w:rPr>
        <w:t>068876608</w:t>
      </w:r>
      <w:r>
        <w:rPr>
          <w:rFonts w:hint="eastAsia" w:ascii="宋体" w:hAnsi="宋体" w:eastAsia="宋体" w:cs="宋体"/>
          <w:sz w:val="21"/>
          <w:szCs w:val="21"/>
        </w:rPr>
        <w:t xml:space="preserve"> </w:t>
      </w:r>
    </w:p>
    <w:p w14:paraId="427C8F45">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 </w:t>
      </w:r>
    </w:p>
    <w:p w14:paraId="5468D534">
      <w:pPr>
        <w:widowControl/>
        <w:spacing w:line="480" w:lineRule="exact"/>
        <w:ind w:firstLine="480"/>
        <w:rPr>
          <w:rFonts w:ascii="宋体" w:hAnsi="宋体" w:eastAsia="宋体" w:cs="宋体"/>
          <w:sz w:val="21"/>
          <w:szCs w:val="21"/>
        </w:rPr>
      </w:pPr>
      <w:r>
        <w:rPr>
          <w:rFonts w:hint="eastAsia" w:ascii="宋体" w:hAnsi="宋体" w:eastAsia="宋体" w:cs="宋体"/>
          <w:sz w:val="21"/>
          <w:szCs w:val="21"/>
        </w:rPr>
        <w:t>招标代理机构：江苏仁禾中衡工程咨询房地产估价有限公司</w:t>
      </w:r>
    </w:p>
    <w:p w14:paraId="06272AA6">
      <w:pPr>
        <w:widowControl/>
        <w:spacing w:line="480" w:lineRule="exact"/>
        <w:ind w:firstLine="480"/>
        <w:rPr>
          <w:rFonts w:hint="default" w:ascii="宋体" w:hAnsi="宋体" w:eastAsia="宋体" w:cs="宋体"/>
          <w:sz w:val="21"/>
          <w:szCs w:val="21"/>
          <w:lang w:val="en-US"/>
        </w:rPr>
      </w:pPr>
      <w:r>
        <w:rPr>
          <w:rFonts w:hint="eastAsia" w:ascii="宋体" w:hAnsi="宋体" w:eastAsia="宋体" w:cs="宋体"/>
          <w:sz w:val="21"/>
          <w:szCs w:val="21"/>
        </w:rPr>
        <w:t>联系人：</w:t>
      </w:r>
      <w:r>
        <w:rPr>
          <w:rFonts w:hint="eastAsia" w:ascii="宋体" w:hAnsi="宋体" w:eastAsia="宋体" w:cs="宋体"/>
          <w:sz w:val="21"/>
          <w:szCs w:val="21"/>
          <w:lang w:val="en-US" w:eastAsia="zh-CN"/>
        </w:rPr>
        <w:t>成工</w:t>
      </w:r>
    </w:p>
    <w:p w14:paraId="2B6F0490">
      <w:pPr>
        <w:widowControl/>
        <w:spacing w:line="480" w:lineRule="exact"/>
        <w:ind w:firstLine="480"/>
        <w:rPr>
          <w:rFonts w:hint="default" w:ascii="宋体" w:hAnsi="宋体" w:eastAsia="宋体" w:cs="宋体"/>
          <w:sz w:val="21"/>
          <w:szCs w:val="21"/>
          <w:lang w:val="en-US" w:eastAsia="zh-CN"/>
        </w:rPr>
      </w:pPr>
      <w:r>
        <w:rPr>
          <w:rFonts w:hint="eastAsia" w:ascii="宋体" w:hAnsi="宋体" w:eastAsia="宋体" w:cs="宋体"/>
          <w:sz w:val="21"/>
          <w:szCs w:val="21"/>
        </w:rPr>
        <w:t>联系电话：1</w:t>
      </w:r>
      <w:r>
        <w:rPr>
          <w:rFonts w:hint="eastAsia" w:ascii="宋体" w:hAnsi="宋体" w:eastAsia="宋体" w:cs="宋体"/>
          <w:sz w:val="21"/>
          <w:szCs w:val="21"/>
          <w:lang w:val="en-US" w:eastAsia="zh-CN"/>
        </w:rPr>
        <w:t>3805105522</w:t>
      </w:r>
    </w:p>
    <w:p w14:paraId="3EE3C85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japaneseCounting"/>
      <w:pStyle w:val="2"/>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BC7E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2"/>
      <w:lang w:val="en-US" w:eastAsia="zh-CN" w:bidi="ar-SA"/>
    </w:rPr>
  </w:style>
  <w:style w:type="paragraph" w:styleId="2">
    <w:name w:val="heading 1"/>
    <w:basedOn w:val="1"/>
    <w:next w:val="1"/>
    <w:qFormat/>
    <w:uiPriority w:val="0"/>
    <w:pPr>
      <w:keepNext/>
      <w:numPr>
        <w:ilvl w:val="0"/>
        <w:numId w:val="1"/>
      </w:numPr>
      <w:tabs>
        <w:tab w:val="left" w:pos="420"/>
        <w:tab w:val="clear" w:pos="720"/>
      </w:tabs>
      <w:spacing w:line="216" w:lineRule="auto"/>
      <w:outlineLvl w:val="0"/>
    </w:pPr>
    <w:rPr>
      <w:rFonts w:ascii="宋体" w:eastAsia="宋体"/>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_Style 7"/>
    <w:basedOn w:val="2"/>
    <w:next w:val="1"/>
    <w:qFormat/>
    <w:uiPriority w:val="0"/>
    <w:pPr>
      <w:keepLines/>
      <w:numPr>
        <w:ilvl w:val="0"/>
        <w:numId w:val="0"/>
      </w:numPr>
      <w:tabs>
        <w:tab w:val="clear" w:pos="420"/>
      </w:tabs>
      <w:spacing w:before="340" w:after="330" w:line="578" w:lineRule="auto"/>
      <w:outlineLvl w:val="9"/>
    </w:pPr>
    <w:rPr>
      <w:rFonts w:ascii="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2024-12-03T10:39:47Z</dcterms:created>
  <dc:creator>Lenovo</dc:creator>
  <cp:lastModifiedBy>赵小倩</cp:lastModifiedBy>
  <dcterms:modified xsi:type="dcterms:W3CDTF">2024-12-03T10:43:03Z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7FF73445AB6D4CB9B47CBCF8E6EE7033_12</vt:lpwstr>
  </property>
</Properties>
</file>