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54D0F3">
      <w:pPr>
        <w:pStyle w:val="7"/>
        <w:spacing w:before="120" w:after="0" w:line="480" w:lineRule="auto"/>
        <w:jc w:val="center"/>
        <w:rPr>
          <w:rFonts w:hint="eastAsia" w:ascii="宋体" w:hAnsi="宋体" w:cs="宋体"/>
        </w:rPr>
      </w:pPr>
      <w:r>
        <w:rPr>
          <w:rFonts w:hint="eastAsia" w:ascii="宋体" w:hAnsi="宋体" w:cs="宋体"/>
          <w:sz w:val="36"/>
          <w:lang w:eastAsia="zh-CN"/>
        </w:rPr>
        <w:t>盐城市大数据产业园A20机房整体提升项目</w:t>
      </w:r>
      <w:r>
        <w:rPr>
          <w:rFonts w:hint="eastAsia" w:ascii="宋体" w:hAnsi="宋体" w:cs="宋体"/>
          <w:sz w:val="36"/>
        </w:rPr>
        <w:t>招标公告</w:t>
      </w:r>
    </w:p>
    <w:p w14:paraId="51E48D33">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一、招标条件</w:t>
      </w:r>
    </w:p>
    <w:p w14:paraId="1CF4E21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lang w:eastAsia="zh-CN"/>
        </w:rPr>
        <w:t>盐城市大数据产业园A20机房整体提升项目</w:t>
      </w:r>
      <w:r>
        <w:rPr>
          <w:rFonts w:hint="eastAsia" w:ascii="宋体" w:hAnsi="宋体" w:eastAsia="宋体" w:cs="宋体"/>
          <w:sz w:val="24"/>
          <w:szCs w:val="24"/>
        </w:rPr>
        <w:t>已经批准建设，工程所需资金来源自筹并已落实。已具备招标条件，现对该项目进行公开招标。本次招标对投标人的资格审查，采用资格后审方法选择合格的投标申请人参加投标。</w:t>
      </w:r>
    </w:p>
    <w:p w14:paraId="2061AD0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二、项目概况</w:t>
      </w:r>
    </w:p>
    <w:p w14:paraId="041CE903">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1、工程名称：</w:t>
      </w:r>
      <w:r>
        <w:rPr>
          <w:rFonts w:hint="eastAsia" w:ascii="宋体" w:hAnsi="宋体" w:eastAsia="宋体" w:cs="宋体"/>
          <w:sz w:val="24"/>
          <w:szCs w:val="24"/>
          <w:lang w:eastAsia="zh-CN"/>
        </w:rPr>
        <w:t>盐城市大数据产业园A20机房整体提升项目</w:t>
      </w:r>
      <w:r>
        <w:rPr>
          <w:rFonts w:hint="eastAsia" w:ascii="宋体" w:hAnsi="宋体" w:eastAsia="宋体" w:cs="宋体"/>
          <w:sz w:val="24"/>
          <w:szCs w:val="24"/>
        </w:rPr>
        <w:t>。</w:t>
      </w:r>
    </w:p>
    <w:p w14:paraId="6BF4173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2、建设单位：</w:t>
      </w:r>
      <w:r>
        <w:rPr>
          <w:rFonts w:hint="eastAsia" w:ascii="宋体" w:hAnsi="宋体" w:eastAsia="宋体" w:cs="宋体"/>
          <w:sz w:val="24"/>
          <w:szCs w:val="24"/>
          <w:lang w:eastAsia="zh-CN"/>
        </w:rPr>
        <w:t>盐城市大数据集团有限公司</w:t>
      </w:r>
      <w:r>
        <w:rPr>
          <w:rFonts w:hint="eastAsia" w:ascii="宋体" w:hAnsi="宋体" w:eastAsia="宋体" w:cs="宋体"/>
          <w:sz w:val="24"/>
          <w:szCs w:val="24"/>
        </w:rPr>
        <w:t>。</w:t>
      </w:r>
    </w:p>
    <w:p w14:paraId="721D1C9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3、工程地点：盐南高新区。</w:t>
      </w:r>
    </w:p>
    <w:p w14:paraId="75C93C3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4、工程规模：工程造价约</w:t>
      </w:r>
      <w:r>
        <w:rPr>
          <w:rFonts w:hint="eastAsia" w:ascii="宋体" w:hAnsi="宋体" w:eastAsia="宋体" w:cs="宋体"/>
          <w:sz w:val="24"/>
          <w:szCs w:val="24"/>
          <w:lang w:val="en-US" w:eastAsia="zh-CN"/>
        </w:rPr>
        <w:t>40</w:t>
      </w:r>
      <w:r>
        <w:rPr>
          <w:rFonts w:hint="eastAsia" w:ascii="宋体" w:hAnsi="宋体" w:eastAsia="宋体" w:cs="宋体"/>
          <w:sz w:val="24"/>
          <w:szCs w:val="24"/>
          <w:lang w:eastAsia="zh-CN"/>
        </w:rPr>
        <w:t>万元。</w:t>
      </w:r>
    </w:p>
    <w:p w14:paraId="5D25051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5、质量要求：合格标准。</w:t>
      </w:r>
    </w:p>
    <w:p w14:paraId="1EDA7D5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6、要求工期：</w:t>
      </w:r>
      <w:r>
        <w:rPr>
          <w:rFonts w:hint="eastAsia" w:ascii="宋体" w:hAnsi="宋体" w:eastAsia="宋体" w:cs="宋体"/>
          <w:sz w:val="24"/>
          <w:szCs w:val="24"/>
          <w:lang w:val="en-US" w:eastAsia="zh-CN"/>
        </w:rPr>
        <w:t>10</w:t>
      </w:r>
      <w:r>
        <w:rPr>
          <w:rFonts w:hint="eastAsia" w:ascii="宋体" w:hAnsi="宋体" w:eastAsia="宋体" w:cs="宋体"/>
          <w:sz w:val="24"/>
          <w:szCs w:val="24"/>
        </w:rPr>
        <w:t>日历天，具体服从招标人建设要求。</w:t>
      </w:r>
    </w:p>
    <w:p w14:paraId="08077EB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7、标段划分及招标范围：本招标工程为一个标段；主要内容包括（但不限于）：</w:t>
      </w:r>
      <w:r>
        <w:rPr>
          <w:rFonts w:hint="eastAsia" w:ascii="宋体" w:hAnsi="宋体" w:eastAsia="宋体" w:cs="宋体"/>
          <w:sz w:val="24"/>
          <w:szCs w:val="24"/>
          <w:lang w:eastAsia="zh-CN"/>
        </w:rPr>
        <w:t>盐城市大数据产业园A20机房整体提升项目</w:t>
      </w:r>
      <w:r>
        <w:rPr>
          <w:rFonts w:hint="eastAsia" w:ascii="宋体" w:hAnsi="宋体" w:eastAsia="宋体" w:cs="宋体"/>
          <w:sz w:val="24"/>
          <w:szCs w:val="24"/>
        </w:rPr>
        <w:t>的施工，具体以招标人提供的施工图纸和工程量清单为准。招标人保留对招标范围内工程量适当调整的权利。</w:t>
      </w:r>
    </w:p>
    <w:p w14:paraId="57E221B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三、投标人应当具备的主要资格条件</w:t>
      </w:r>
    </w:p>
    <w:p w14:paraId="77E5A31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1、投标人资质类别和等级：</w:t>
      </w:r>
      <w:r>
        <w:rPr>
          <w:rFonts w:hint="eastAsia" w:ascii="宋体" w:hAnsi="宋体" w:eastAsia="宋体" w:cs="宋体"/>
          <w:kern w:val="0"/>
          <w:sz w:val="24"/>
          <w:szCs w:val="24"/>
        </w:rPr>
        <w:t>投标人须具有</w:t>
      </w:r>
      <w:r>
        <w:rPr>
          <w:rFonts w:hint="eastAsia" w:ascii="宋体" w:hAnsi="宋体" w:eastAsia="宋体" w:cs="宋体"/>
          <w:color w:val="000000"/>
          <w:kern w:val="0"/>
          <w:sz w:val="24"/>
          <w:szCs w:val="24"/>
          <w:lang w:eastAsia="zh-CN"/>
        </w:rPr>
        <w:t>建筑装修装饰工程专业承包二级及以上资质的独立法人</w:t>
      </w:r>
      <w:r>
        <w:rPr>
          <w:rFonts w:hint="eastAsia" w:ascii="宋体" w:hAnsi="宋体" w:eastAsia="宋体" w:cs="宋体"/>
          <w:color w:val="000000"/>
          <w:kern w:val="0"/>
          <w:sz w:val="24"/>
          <w:szCs w:val="24"/>
        </w:rPr>
        <w:t>，并取得有效的企业安全生产许可证</w:t>
      </w:r>
      <w:r>
        <w:rPr>
          <w:rFonts w:hint="eastAsia" w:ascii="宋体" w:hAnsi="宋体" w:eastAsia="宋体" w:cs="宋体"/>
          <w:sz w:val="24"/>
          <w:szCs w:val="24"/>
          <w:lang w:val="en-US" w:eastAsia="zh-CN"/>
        </w:rPr>
        <w:t>。</w:t>
      </w:r>
    </w:p>
    <w:p w14:paraId="3A857EB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2、项目负责人资质和要求：投标项目负责人必须是投标人本单位的正式职工，具有注册专业为建筑工程专业二级及以上建造师资格证书，同时具有《建筑施工企业项目负责人安全生产考核合格证》（B类），且无在建工程（如发生投诉或反映，被投诉人或被反映人须提供工程所在地建设行政主管部门出具的该项目经理无在建工程的书面证明）。</w:t>
      </w:r>
    </w:p>
    <w:p w14:paraId="2D32A26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3、本次招标不接受联合体投标。</w:t>
      </w:r>
    </w:p>
    <w:p w14:paraId="557FAFD2">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4、其他要求：</w:t>
      </w:r>
    </w:p>
    <w:p w14:paraId="4C87931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4.1财务要求：投标人应具有独立订立合同的能力，未处于财产被接管、冻结和破产状态。</w:t>
      </w:r>
    </w:p>
    <w:p w14:paraId="4C252CCC">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 xml:space="preserve">4.2业绩要求：无。       </w:t>
      </w:r>
    </w:p>
    <w:p w14:paraId="58BC5E4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4.3信誉要求：</w:t>
      </w:r>
    </w:p>
    <w:p w14:paraId="05CD5D0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4.3.1被国家、江苏本省省级有关部门及盐城本市市级、盐南高新区有关部门暂停招投标或市场准入资格且在公示处罚期内的。</w:t>
      </w:r>
    </w:p>
    <w:p w14:paraId="72A43BB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4.3.2近3年内有行贿犯罪行为且被记录，或者法定代表人、项目负责人有行贿犯罪记录且自记录之日起未超过5年的。（均自记录之日起至投标截止日止）</w:t>
      </w:r>
    </w:p>
    <w:p w14:paraId="0F09F1B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 xml:space="preserve">4.3.3被人民法院列为失信被执行人的信息正在被“信用中国”、“信用江苏”网站公布的，投标截止时间前失信被执行人信息已撤销或更正的除外。 </w:t>
      </w:r>
    </w:p>
    <w:p w14:paraId="0B0991F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4.3.4投标人作为失信联合惩戒对象被采取依法限制参与建设工程招投标惩戒措施的，且被有关部门推送在“信用中国”、“信用江苏”、“信用盐城”相关网站公示且在有效期内的。</w:t>
      </w:r>
    </w:p>
    <w:p w14:paraId="7D96F8A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3AE0E470">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4.4项目负责人从本工程投标文件递交截止之日起必须满足下列条件：</w:t>
      </w:r>
    </w:p>
    <w:p w14:paraId="304B78D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项目负责人不得同时在两个或者两个以上单位受聘或者执业。</w:t>
      </w:r>
    </w:p>
    <w:p w14:paraId="0F932B2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4.4.1 项目负责人是非变更后无在建工程，或项目负责人是变更后无在建工程（必须原合同工期已满且变更备案之日已满 6 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46DD1E4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在建工程：处于中标结果公告（直接发包的项目以网上合同备案或归集为准）到合同约定的工程全部完成且竣工验收合格期间的工程。竣工验收证明是指由建设单位（或监理）组织工程建设各方验收合格， 并签署相应的单位工程质量竣工验收记录或者分部工程质量验 收记录等验收文件。</w:t>
      </w:r>
    </w:p>
    <w:p w14:paraId="0024246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本项目招标文件项目负责人有在养护期内的绿化养护、市政养护项目的，不属于招标公告及文件规定的有在建工程。绿化养护、市政养护工程招标，对项目负责人是否有在建工程不作要求。</w:t>
      </w:r>
    </w:p>
    <w:p w14:paraId="59F3DE8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4.5.投标申请人授权委托人及</w:t>
      </w:r>
      <w:r>
        <w:rPr>
          <w:rFonts w:hint="eastAsia" w:ascii="宋体" w:hAnsi="宋体" w:eastAsia="宋体" w:cs="宋体"/>
          <w:sz w:val="24"/>
          <w:szCs w:val="24"/>
        </w:rPr>
        <w:t>项目负责人</w:t>
      </w:r>
      <w:r>
        <w:rPr>
          <w:rFonts w:hint="eastAsia" w:ascii="宋体" w:hAnsi="宋体" w:eastAsia="宋体" w:cs="宋体"/>
          <w:sz w:val="24"/>
          <w:szCs w:val="24"/>
          <w:lang w:val="en-US" w:eastAsia="zh-CN"/>
        </w:rPr>
        <w:t>均为本单位的正式职工，投标时提供项目负责人从2024年10月开始至投标截止之日当月至少1个月在本单位缴纳养老保险缴费记录证明。（退休人员提供在本单位相关证明。）。</w:t>
      </w:r>
    </w:p>
    <w:p w14:paraId="5A6D135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四、招标文件的领取</w:t>
      </w:r>
    </w:p>
    <w:p w14:paraId="4C98C7D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1、本招标公告发布后凡具备上述主要资格条件，并自愿参加本项目投标的申请人于</w:t>
      </w:r>
      <w:r>
        <w:rPr>
          <w:rFonts w:hint="eastAsia" w:ascii="宋体" w:hAnsi="宋体" w:eastAsia="宋体" w:cs="宋体"/>
          <w:color w:val="0000FF"/>
          <w:sz w:val="24"/>
          <w:szCs w:val="24"/>
          <w:lang w:val="en-US" w:eastAsia="zh-CN"/>
        </w:rPr>
        <w:t>2025年1月22日至2025年1月26日18时</w:t>
      </w:r>
      <w:r>
        <w:rPr>
          <w:rFonts w:hint="eastAsia" w:ascii="宋体" w:hAnsi="宋体" w:eastAsia="宋体" w:cs="宋体"/>
          <w:sz w:val="24"/>
          <w:szCs w:val="24"/>
          <w:lang w:val="en-US" w:eastAsia="zh-CN"/>
        </w:rPr>
        <w:t>前，携带单位介绍信或授权委托书至江苏仁禾中衡工程咨询房地产估价有限公司（盐城市人民南路国际创投中心南四楼3A06室）报名获取招标文件。</w:t>
      </w:r>
    </w:p>
    <w:p w14:paraId="0F21C3B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2、投标文件的递交截止时间（开标时间）：</w:t>
      </w:r>
      <w:r>
        <w:rPr>
          <w:rFonts w:hint="eastAsia" w:ascii="宋体" w:hAnsi="宋体" w:eastAsia="宋体" w:cs="宋体"/>
          <w:color w:val="0000FF"/>
          <w:sz w:val="24"/>
          <w:szCs w:val="24"/>
          <w:lang w:val="en-US" w:eastAsia="zh-CN"/>
        </w:rPr>
        <w:t>2025年1月27日9：00时。</w:t>
      </w:r>
    </w:p>
    <w:p w14:paraId="5F31072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五、投标保证金的缴纳与退还</w:t>
      </w:r>
    </w:p>
    <w:p w14:paraId="1D29AAF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5.1投标人在递交投标文件的同时，应按规定的金额、形式递交投标保证金，并作为其投标文件的组成部分。联合体投标的，其投标保证金有牵头人递交，并应符合有关规定。</w:t>
      </w:r>
    </w:p>
    <w:p w14:paraId="7481D74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5.2本工程投标保证金数额：</w:t>
      </w:r>
      <w:r>
        <w:rPr>
          <w:rFonts w:hint="eastAsia" w:ascii="宋体" w:hAnsi="宋体" w:eastAsia="宋体" w:cs="宋体"/>
          <w:sz w:val="24"/>
          <w:szCs w:val="24"/>
          <w:lang w:val="en-US" w:eastAsia="zh-CN"/>
        </w:rPr>
        <w:t>5000</w:t>
      </w:r>
      <w:r>
        <w:rPr>
          <w:rFonts w:hint="eastAsia" w:ascii="宋体" w:hAnsi="宋体" w:eastAsia="宋体" w:cs="宋体"/>
          <w:sz w:val="24"/>
          <w:szCs w:val="24"/>
        </w:rPr>
        <w:t>元。投标人须在本工程开标前办理投标保证金缴纳手续，投标保证金有效期与投标有效期一致。各投标人必须以企业法人基本存款账户办理保证金缴纳手续，否则不予接受。</w:t>
      </w:r>
    </w:p>
    <w:p w14:paraId="222F1B8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5.2.1投标保证金可采用现金、电子保函（保单）形式，投标人根据企业实际情况合理选择投标保证金的缴纳形式，不同缴纳形式具有同等法律效力。具体缴纳方式为：</w:t>
      </w:r>
    </w:p>
    <w:p w14:paraId="31AE0B9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5.2.1.1</w:t>
      </w:r>
      <w:r>
        <w:rPr>
          <w:rFonts w:hint="eastAsia" w:ascii="宋体" w:hAnsi="宋体" w:eastAsia="宋体" w:cs="宋体"/>
          <w:sz w:val="24"/>
          <w:szCs w:val="24"/>
          <w:lang w:val="en-US" w:eastAsia="zh-CN"/>
        </w:rPr>
        <w:t>现</w:t>
      </w:r>
      <w:r>
        <w:rPr>
          <w:rFonts w:hint="eastAsia" w:ascii="宋体" w:hAnsi="宋体" w:eastAsia="宋体" w:cs="宋体"/>
          <w:sz w:val="24"/>
          <w:szCs w:val="24"/>
        </w:rPr>
        <w:t>金缴纳方式：采用转账、银行汇票、本票等形式。投标人须在投标截止时间前将投标保证金从投标人本单位的基本账户上汇出（以投标人汇出资金的银行日期为准，且保证金汇出单位必须与投标人名称一致）。收款人</w:t>
      </w:r>
      <w:r>
        <w:rPr>
          <w:rFonts w:hint="eastAsia" w:ascii="宋体" w:hAnsi="宋体" w:eastAsia="宋体" w:cs="宋体"/>
          <w:sz w:val="24"/>
          <w:szCs w:val="24"/>
          <w:lang w:val="en-US" w:eastAsia="zh-CN"/>
        </w:rPr>
        <w:t>名称</w:t>
      </w:r>
      <w:r>
        <w:rPr>
          <w:rFonts w:hint="eastAsia" w:ascii="宋体" w:hAnsi="宋体" w:eastAsia="宋体" w:cs="宋体"/>
          <w:sz w:val="24"/>
          <w:szCs w:val="24"/>
        </w:rPr>
        <w:t>：</w:t>
      </w:r>
      <w:r>
        <w:rPr>
          <w:rFonts w:hint="eastAsia" w:ascii="宋体" w:hAnsi="宋体" w:eastAsia="宋体" w:cs="宋体"/>
          <w:sz w:val="24"/>
          <w:szCs w:val="24"/>
          <w:lang w:eastAsia="zh-CN"/>
        </w:rPr>
        <w:t>盐城市大数据集团有限公司</w:t>
      </w:r>
      <w:r>
        <w:rPr>
          <w:rFonts w:hint="eastAsia" w:ascii="宋体" w:hAnsi="宋体" w:eastAsia="宋体" w:cs="宋体"/>
          <w:sz w:val="24"/>
          <w:szCs w:val="24"/>
        </w:rPr>
        <w:t>，开户行：</w:t>
      </w:r>
      <w:r>
        <w:rPr>
          <w:rFonts w:hint="eastAsia" w:ascii="宋体" w:hAnsi="宋体" w:eastAsia="宋体" w:cs="宋体"/>
          <w:sz w:val="24"/>
          <w:szCs w:val="24"/>
          <w:highlight w:val="yellow"/>
          <w:u w:val="single"/>
          <w:lang w:val="en-US" w:eastAsia="zh-CN"/>
        </w:rPr>
        <w:t>兴业银行盐城分行</w:t>
      </w:r>
      <w:r>
        <w:rPr>
          <w:rFonts w:hint="eastAsia" w:ascii="宋体" w:hAnsi="宋体" w:eastAsia="宋体" w:cs="宋体"/>
          <w:sz w:val="24"/>
          <w:szCs w:val="24"/>
          <w:highlight w:val="yellow"/>
          <w:u w:val="single"/>
        </w:rPr>
        <w:t>，开户行账号：</w:t>
      </w:r>
      <w:r>
        <w:rPr>
          <w:rFonts w:hint="eastAsia" w:ascii="宋体" w:hAnsi="宋体" w:eastAsia="宋体" w:cs="宋体"/>
          <w:sz w:val="24"/>
          <w:szCs w:val="24"/>
          <w:highlight w:val="yellow"/>
          <w:u w:val="single"/>
          <w:lang w:val="en-US" w:eastAsia="zh-CN"/>
        </w:rPr>
        <w:t>402010100100050711</w:t>
      </w:r>
      <w:r>
        <w:rPr>
          <w:rFonts w:hint="eastAsia" w:ascii="宋体" w:hAnsi="宋体" w:eastAsia="宋体" w:cs="宋体"/>
          <w:sz w:val="24"/>
          <w:szCs w:val="24"/>
        </w:rPr>
        <w:t>。投标截止时间之前，各投标人将加盖投标单位公章的转账截图（转账须备注项目名称）或银行汇票或银行本票原件及加盖投标单位公章的基本户开户许可证带至开标现场交工作人员核验。未按招标文件约定要求缴纳投标保证金，其投标文件不予接收。</w:t>
      </w:r>
    </w:p>
    <w:p w14:paraId="04224C0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5.2.1.2采用银行保函缴纳：投标人须在投标截止时间前将投标人基本账户开户行出具的银行保函原件带至开标现场交工作人员核验。</w:t>
      </w:r>
    </w:p>
    <w:p w14:paraId="4D1E817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5.2.1.3对信用服务机构依据《江苏省企业信用评价指引（试行）》（苏信用办〔2021 ] 17号）评定为 AA 级及以上的投标人免交投标保证金，投标时需提供经市发展改革委（市信用办）备案的第三方信用报告原件彩色扫描件，且信用报告概述页等内容通过“信用盐城网”可查证。</w:t>
      </w:r>
    </w:p>
    <w:p w14:paraId="0172879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5.2.1.4信用承诺替代投标保证金。本工程接受投标人以“投标保证金信用承诺函”方式替代投标保证金，投标保证金信用承诺函作为投标文件组成部分一并提交招标人，除法定例外情况，在有效期内(提交投标文件截止时间后到招标文件规定投标有效期终止前)不得撤销撤回(投标保证金信用承诺函参照附件A)。</w:t>
      </w:r>
    </w:p>
    <w:p w14:paraId="33F9E77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采用投标保证金信用承诺替代投标保证金的投标人需信用良好，其中以联合体形式投标并采用信用承诺函替代投标保证金的，联合体各成员均须出具投标保证金信用承诺函。</w:t>
      </w:r>
    </w:p>
    <w:p w14:paraId="2D6DB5F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6A81BAC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 xml:space="preserve">采用信用承诺替代投标保证金的，不免除投标人违法、违规、违约责任的义务。 </w:t>
      </w:r>
    </w:p>
    <w:p w14:paraId="05F6CD0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未按上述要求交纳投标保证金的，经评标委员会认定后，其投标文件为无效投标文件。</w:t>
      </w:r>
    </w:p>
    <w:p w14:paraId="33F0CE8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5.3投标保证金的退还</w:t>
      </w:r>
    </w:p>
    <w:p w14:paraId="3DCC439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5.3.1有投诉(异议)的项目，所有投标人投标保证金一律暂不退还。</w:t>
      </w:r>
    </w:p>
    <w:p w14:paraId="2DEB3D33">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因恶意投诉（异议）的、利用保密信息投诉的及投诉（异议）不实的投诉行为被通报的，自通报之日起6个月内，投诉（异议）人所有投标项目的投标保证金在招标项目签订合同后予以退还。</w:t>
      </w:r>
    </w:p>
    <w:p w14:paraId="05BFA4F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投诉人故意捏造事实、伪造证明材料或者以非法手段取得证明材料进行投诉的给他人造成的损失的，投诉人依法承担赔偿责任。招标人直接扣减相应数额，确认应予退还保证金的数额，并经监管机关存档后，办理退款手续。</w:t>
      </w:r>
    </w:p>
    <w:p w14:paraId="0C8E04C2">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5.3.2保证金退还时间：</w:t>
      </w:r>
    </w:p>
    <w:p w14:paraId="74E8D200">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如无投诉等特殊情况，中标结果公示期满后7个工作日内，退还非中标人的投标保证金。中标人投标保证金在履约保证金缴纳后退还。</w:t>
      </w:r>
      <w:r>
        <w:rPr>
          <w:rFonts w:hint="eastAsia" w:ascii="宋体" w:hAnsi="宋体" w:eastAsia="宋体" w:cs="宋体"/>
          <w:sz w:val="24"/>
          <w:szCs w:val="24"/>
        </w:rPr>
        <w:br w:type="textWrapping"/>
      </w:r>
      <w:r>
        <w:rPr>
          <w:rFonts w:hint="eastAsia" w:ascii="宋体" w:hAnsi="宋体" w:eastAsia="宋体" w:cs="宋体"/>
          <w:sz w:val="24"/>
          <w:szCs w:val="24"/>
        </w:rPr>
        <w:t xml:space="preserve">  备注：以现金形式缴纳的投标保证金，向中标人和未中标的投标人退还投标保证金时同时退还银行同期存款利息。以保函（保单）形式缴纳的保证金按相关协议执行，无需办理退款手续。</w:t>
      </w:r>
    </w:p>
    <w:p w14:paraId="3392F8F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5.3.3有下列情形之一的，投标保证金将不予退还：</w:t>
      </w:r>
    </w:p>
    <w:p w14:paraId="06849412">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①投标人在规定的投标有效期内撤销或修改其投标文件的；</w:t>
      </w:r>
    </w:p>
    <w:p w14:paraId="6DA5B7F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②中标人无正当理由拒绝签订合同；</w:t>
      </w:r>
    </w:p>
    <w:p w14:paraId="36792EB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③中标人弄虚作假骗取中标，其他投标虚假、恶意投诉或反映，干扰招投标活动的；</w:t>
      </w:r>
    </w:p>
    <w:p w14:paraId="1271A11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④中标项目经理被反映或投诉有在建工程，投标人及项目经理业绩为虚假业绩，并经查属实的。</w:t>
      </w:r>
    </w:p>
    <w:p w14:paraId="48DC023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65392CF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六、本项目评标、定标办法采用</w:t>
      </w:r>
      <w:r>
        <w:rPr>
          <w:rFonts w:hint="eastAsia" w:ascii="宋体" w:hAnsi="宋体" w:eastAsia="宋体" w:cs="宋体"/>
          <w:color w:val="0000FF"/>
          <w:sz w:val="24"/>
          <w:szCs w:val="24"/>
        </w:rPr>
        <w:t>“</w:t>
      </w:r>
      <w:r>
        <w:rPr>
          <w:rFonts w:hint="eastAsia" w:ascii="宋体" w:hAnsi="宋体" w:eastAsia="宋体" w:cs="宋体"/>
          <w:color w:val="0000FF"/>
          <w:sz w:val="24"/>
          <w:szCs w:val="24"/>
          <w:lang w:val="en-US" w:eastAsia="zh-CN"/>
        </w:rPr>
        <w:t>合理低价法</w:t>
      </w:r>
      <w:r>
        <w:rPr>
          <w:rFonts w:hint="eastAsia" w:ascii="宋体" w:hAnsi="宋体" w:eastAsia="宋体" w:cs="宋体"/>
          <w:color w:val="0000FF"/>
          <w:sz w:val="24"/>
          <w:szCs w:val="24"/>
        </w:rPr>
        <w:t>”</w:t>
      </w:r>
      <w:r>
        <w:rPr>
          <w:rFonts w:hint="eastAsia" w:ascii="宋体" w:hAnsi="宋体" w:eastAsia="宋体" w:cs="宋体"/>
          <w:sz w:val="24"/>
          <w:szCs w:val="24"/>
        </w:rPr>
        <w:t>，具体内容详见招标文件。</w:t>
      </w:r>
    </w:p>
    <w:p w14:paraId="77C9B84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七、投标单位在诚信库中录入的所有信息均应真实有效，并应及时更新、完善，如未能及时更新和完善，其责任自行承担。投标单位录入虚假信息的，经查实作为失信（不良行为）行为在江苏省建设工程招标网、江苏省盐南高新区公共资源交易电子化服务平台上公告一年，在公告期间，本区内其它项目的招标人可以据此不接受其投标。</w:t>
      </w:r>
    </w:p>
    <w:p w14:paraId="415C76A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八、本工程严禁挂靠、转包，一经核实挂靠、转包的，将被取消投标、中标资格，并按相关规定进行处罚，直至建议有关部门吊销资质证书。</w:t>
      </w:r>
    </w:p>
    <w:p w14:paraId="094D84A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九、联系方式</w:t>
      </w:r>
    </w:p>
    <w:p w14:paraId="3CB07A1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eastAsia="zh-CN"/>
        </w:rPr>
      </w:pPr>
      <w:r>
        <w:rPr>
          <w:rFonts w:hint="eastAsia" w:ascii="宋体" w:hAnsi="宋体" w:eastAsia="宋体" w:cs="宋体"/>
          <w:sz w:val="24"/>
          <w:szCs w:val="24"/>
        </w:rPr>
        <w:t>招标人：</w:t>
      </w:r>
      <w:r>
        <w:rPr>
          <w:rFonts w:hint="eastAsia" w:ascii="宋体" w:hAnsi="宋体" w:eastAsia="宋体" w:cs="宋体"/>
          <w:sz w:val="24"/>
          <w:szCs w:val="24"/>
          <w:lang w:eastAsia="zh-CN"/>
        </w:rPr>
        <w:t>盐城市大数据集团有限公司</w:t>
      </w:r>
    </w:p>
    <w:p w14:paraId="5F38E11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 xml:space="preserve"> 刘主任</w:t>
      </w:r>
      <w:bookmarkStart w:id="0" w:name="_GoBack"/>
      <w:bookmarkEnd w:id="0"/>
    </w:p>
    <w:p w14:paraId="18B957B2">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sz w:val="24"/>
          <w:szCs w:val="24"/>
          <w:u w:val="single"/>
          <w:lang w:val="en-US"/>
        </w:rPr>
      </w:pPr>
      <w:r>
        <w:rPr>
          <w:rFonts w:hint="eastAsia" w:ascii="宋体" w:hAnsi="宋体" w:eastAsia="宋体" w:cs="宋体"/>
          <w:sz w:val="24"/>
          <w:szCs w:val="24"/>
        </w:rPr>
        <w:t>联系电话：</w:t>
      </w:r>
      <w:r>
        <w:rPr>
          <w:rFonts w:hint="eastAsia" w:ascii="宋体" w:hAnsi="宋体" w:eastAsia="宋体" w:cs="宋体"/>
          <w:sz w:val="24"/>
          <w:szCs w:val="24"/>
          <w:lang w:val="en-US" w:eastAsia="zh-CN"/>
        </w:rPr>
        <w:t>18068876608</w:t>
      </w:r>
    </w:p>
    <w:p w14:paraId="4B3B0AC1">
      <w:pPr>
        <w:pStyle w:val="4"/>
        <w:rPr>
          <w:rFonts w:hint="eastAsia"/>
        </w:rPr>
      </w:pPr>
    </w:p>
    <w:p w14:paraId="6984017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招标代理机构：江苏仁禾中衡工程咨询房地产估价有限公司</w:t>
      </w:r>
    </w:p>
    <w:p w14:paraId="7E51E9B2">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sz w:val="24"/>
          <w:szCs w:val="24"/>
          <w:lang w:val="en-US" w:eastAsia="zh-CN"/>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成先生</w:t>
      </w:r>
    </w:p>
    <w:p w14:paraId="7FFCB46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sz w:val="24"/>
          <w:szCs w:val="24"/>
          <w:lang w:val="en-US" w:eastAsia="zh-CN"/>
        </w:rPr>
      </w:pPr>
      <w:r>
        <w:rPr>
          <w:rFonts w:hint="eastAsia" w:ascii="宋体" w:hAnsi="宋体" w:eastAsia="宋体" w:cs="宋体"/>
          <w:sz w:val="24"/>
          <w:szCs w:val="24"/>
        </w:rPr>
        <w:t>联系电话：</w:t>
      </w:r>
      <w:r>
        <w:rPr>
          <w:rFonts w:hint="eastAsia" w:ascii="宋体" w:hAnsi="宋体" w:eastAsia="宋体" w:cs="宋体"/>
          <w:sz w:val="24"/>
          <w:szCs w:val="24"/>
          <w:lang w:val="en-US" w:eastAsia="zh-CN"/>
        </w:rPr>
        <w:t>13805105522</w:t>
      </w:r>
    </w:p>
    <w:p w14:paraId="376B4E3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时间：2025年1月21日</w:t>
      </w:r>
      <w:r>
        <w:rPr>
          <w:rFonts w:hint="eastAsia" w:ascii="宋体" w:hAnsi="宋体" w:eastAsia="宋体" w:cs="宋体"/>
          <w:sz w:val="24"/>
          <w:szCs w:val="24"/>
        </w:rPr>
        <w:t> </w:t>
      </w:r>
    </w:p>
    <w:p w14:paraId="76C5B69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japaneseCounting"/>
      <w:pStyle w:val="3"/>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A2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28"/>
      <w:szCs w:val="22"/>
      <w:lang w:val="en-US" w:eastAsia="zh-CN" w:bidi="ar-SA"/>
    </w:rPr>
  </w:style>
  <w:style w:type="paragraph" w:styleId="3">
    <w:name w:val="heading 1"/>
    <w:basedOn w:val="1"/>
    <w:next w:val="1"/>
    <w:qFormat/>
    <w:uiPriority w:val="0"/>
    <w:pPr>
      <w:keepNext/>
      <w:numPr>
        <w:ilvl w:val="0"/>
        <w:numId w:val="1"/>
      </w:numPr>
      <w:tabs>
        <w:tab w:val="left" w:pos="420"/>
        <w:tab w:val="clear" w:pos="720"/>
      </w:tabs>
      <w:spacing w:line="216" w:lineRule="auto"/>
      <w:outlineLvl w:val="0"/>
    </w:pPr>
    <w:rPr>
      <w:rFonts w:ascii="宋体" w:eastAsia="宋体"/>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400" w:lineRule="exact"/>
      <w:ind w:left="-1" w:firstLine="480" w:firstLineChars="200"/>
    </w:pPr>
    <w:rPr>
      <w:rFonts w:ascii="楷体_GB2312" w:eastAsia="楷体_GB2312"/>
      <w:sz w:val="24"/>
    </w:rPr>
  </w:style>
  <w:style w:type="paragraph" w:styleId="4">
    <w:name w:val="toc 2"/>
    <w:basedOn w:val="1"/>
    <w:next w:val="1"/>
    <w:unhideWhenUsed/>
    <w:qFormat/>
    <w:uiPriority w:val="39"/>
    <w:pPr>
      <w:keepNext w:val="0"/>
      <w:keepLines w:val="0"/>
      <w:widowControl w:val="0"/>
      <w:suppressLineNumbers w:val="0"/>
      <w:spacing w:before="100" w:beforeAutospacing="1" w:after="100" w:afterAutospacing="1"/>
      <w:ind w:left="420" w:leftChars="200" w:right="0"/>
      <w:jc w:val="both"/>
    </w:pPr>
    <w:rPr>
      <w:rFonts w:hint="default" w:ascii="Times New Roman" w:hAnsi="Times New Roman" w:eastAsia="仿宋_GB2312" w:cs="Times New Roman"/>
      <w:kern w:val="2"/>
      <w:sz w:val="28"/>
      <w:szCs w:val="28"/>
      <w:lang w:val="en-US" w:eastAsia="zh-CN" w:bidi="ar"/>
    </w:rPr>
  </w:style>
  <w:style w:type="paragraph" w:customStyle="1" w:styleId="7">
    <w:name w:val="_Style 7"/>
    <w:basedOn w:val="3"/>
    <w:next w:val="1"/>
    <w:qFormat/>
    <w:uiPriority w:val="0"/>
    <w:pPr>
      <w:keepLines/>
      <w:numPr>
        <w:ilvl w:val="0"/>
        <w:numId w:val="0"/>
      </w:numPr>
      <w:tabs>
        <w:tab w:val="clear" w:pos="420"/>
      </w:tabs>
      <w:spacing w:before="340" w:after="330" w:line="578" w:lineRule="auto"/>
      <w:outlineLvl w:val="9"/>
    </w:pPr>
    <w:rPr>
      <w:rFonts w:ascii="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2025-01-21T10:38:03Z</dcterms:created>
  <dc:creator>Lenovo</dc:creator>
  <cp:lastModifiedBy>赵小倩</cp:lastModifiedBy>
  <dcterms:modified xsi:type="dcterms:W3CDTF">2025-01-21T10:39:41Z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eyJoZGlkIjoiZjgwNGYxYTg1MjUxZTdkYzI0NzEwYzdhZDNhMTg0MjUiLCJ1c2VySWQiOiI3NjY3MzUxNDkifQ==</vt:lpwstr>
  </property>
  <property fmtid="{D5CDD505-2E9C-101B-9397-08002B2CF9AE}" pid="4" name="ICV">
    <vt:lpwstr>CFA9F78029D84F7EAED0F656CF145DA6_12</vt:lpwstr>
  </property>
</Properties>
</file>